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45" w:type="pct"/>
        <w:tblInd w:w="-90" w:type="dxa"/>
        <w:tblLook w:val="04A0" w:firstRow="1" w:lastRow="0" w:firstColumn="1" w:lastColumn="0" w:noHBand="0" w:noVBand="1"/>
        <w:tblDescription w:val="Company name"/>
      </w:tblPr>
      <w:tblGrid>
        <w:gridCol w:w="2540"/>
        <w:gridCol w:w="4369"/>
        <w:gridCol w:w="3116"/>
      </w:tblGrid>
      <w:tr w:rsidR="00425C75" w14:paraId="6D4E32FD" w14:textId="77777777" w:rsidTr="00D14C2C">
        <w:trPr>
          <w:trHeight w:val="1008"/>
        </w:trPr>
        <w:tc>
          <w:tcPr>
            <w:tcW w:w="2393" w:type="dxa"/>
            <w:vAlign w:val="center"/>
            <w:hideMark/>
          </w:tcPr>
          <w:p w14:paraId="204831C4" w14:textId="77777777" w:rsidR="00425C75" w:rsidRDefault="00425C75">
            <w:pPr>
              <w:spacing w:after="0" w:line="240" w:lineRule="auto"/>
            </w:pPr>
            <w:bookmarkStart w:id="0" w:name="_GoBack"/>
            <w:bookmarkEnd w:id="0"/>
            <w:r>
              <w:rPr>
                <w:noProof/>
              </w:rPr>
              <w:drawing>
                <wp:inline distT="0" distB="0" distL="0" distR="0" wp14:anchorId="6E87FD1B" wp14:editId="7205E8CB">
                  <wp:extent cx="12858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247775"/>
                          </a:xfrm>
                          <a:prstGeom prst="rect">
                            <a:avLst/>
                          </a:prstGeom>
                          <a:noFill/>
                          <a:ln>
                            <a:noFill/>
                          </a:ln>
                        </pic:spPr>
                      </pic:pic>
                    </a:graphicData>
                  </a:graphic>
                </wp:inline>
              </w:drawing>
            </w:r>
          </w:p>
        </w:tc>
        <w:tc>
          <w:tcPr>
            <w:tcW w:w="4116" w:type="dxa"/>
            <w:vAlign w:val="center"/>
          </w:tcPr>
          <w:p w14:paraId="0CA9E959" w14:textId="77777777" w:rsidR="00425C75" w:rsidRDefault="00425C75">
            <w:pPr>
              <w:pStyle w:val="CompanyName"/>
              <w:spacing w:line="256" w:lineRule="auto"/>
              <w:jc w:val="right"/>
              <w:rPr>
                <w:rFonts w:asciiTheme="minorHAnsi" w:hAnsiTheme="minorHAnsi" w:cstheme="minorHAnsi"/>
                <w:color w:val="0B3C61"/>
                <w:spacing w:val="0"/>
                <w:sz w:val="18"/>
                <w:szCs w:val="19"/>
              </w:rPr>
            </w:pPr>
          </w:p>
          <w:p w14:paraId="6D69B733" w14:textId="77777777" w:rsidR="00425C75" w:rsidRPr="00A53FF0" w:rsidRDefault="00425C75">
            <w:pPr>
              <w:pStyle w:val="CompanyName"/>
              <w:spacing w:line="256" w:lineRule="auto"/>
              <w:jc w:val="left"/>
              <w:rPr>
                <w:rFonts w:asciiTheme="minorHAnsi" w:hAnsiTheme="minorHAnsi" w:cstheme="minorHAnsi"/>
                <w:b w:val="0"/>
                <w:i/>
                <w:color w:val="288DC2"/>
                <w:spacing w:val="0"/>
                <w:sz w:val="20"/>
              </w:rPr>
            </w:pPr>
            <w:r w:rsidRPr="000323D0">
              <w:rPr>
                <w:rFonts w:asciiTheme="minorHAnsi" w:hAnsiTheme="minorHAnsi" w:cstheme="minorHAnsi"/>
                <w:color w:val="002060"/>
                <w:spacing w:val="0"/>
                <w:sz w:val="20"/>
              </w:rPr>
              <w:t xml:space="preserve">Office of State Human </w:t>
            </w:r>
            <w:r w:rsidRPr="00A53FF0">
              <w:rPr>
                <w:rFonts w:asciiTheme="minorHAnsi" w:hAnsiTheme="minorHAnsi" w:cstheme="minorHAnsi"/>
                <w:color w:val="0B3C61"/>
                <w:spacing w:val="0"/>
                <w:sz w:val="20"/>
              </w:rPr>
              <w:t>Resources</w:t>
            </w:r>
            <w:r w:rsidR="008A02A2" w:rsidRPr="00A53FF0">
              <w:rPr>
                <w:rFonts w:asciiTheme="minorHAnsi" w:hAnsiTheme="minorHAnsi" w:cstheme="minorHAnsi"/>
                <w:color w:val="0B3C61"/>
                <w:spacing w:val="0"/>
                <w:sz w:val="20"/>
              </w:rPr>
              <w:softHyphen/>
            </w:r>
            <w:r w:rsidR="008A02A2" w:rsidRPr="00A53FF0">
              <w:rPr>
                <w:rFonts w:asciiTheme="minorHAnsi" w:hAnsiTheme="minorHAnsi" w:cstheme="minorHAnsi"/>
                <w:color w:val="0B3C61"/>
                <w:spacing w:val="0"/>
                <w:sz w:val="20"/>
              </w:rPr>
              <w:softHyphen/>
            </w:r>
          </w:p>
        </w:tc>
        <w:tc>
          <w:tcPr>
            <w:tcW w:w="2935" w:type="dxa"/>
            <w:vAlign w:val="center"/>
          </w:tcPr>
          <w:p w14:paraId="0BA5FE64" w14:textId="77777777" w:rsidR="00425C75" w:rsidRDefault="00425C75">
            <w:pPr>
              <w:pStyle w:val="CompanyName"/>
              <w:spacing w:line="256" w:lineRule="auto"/>
              <w:jc w:val="right"/>
              <w:rPr>
                <w:rFonts w:asciiTheme="minorHAnsi" w:hAnsiTheme="minorHAnsi" w:cstheme="minorHAnsi"/>
                <w:color w:val="auto"/>
                <w:spacing w:val="0"/>
                <w:sz w:val="20"/>
                <w:szCs w:val="24"/>
              </w:rPr>
            </w:pPr>
          </w:p>
          <w:p w14:paraId="7A1CF44D" w14:textId="77777777" w:rsidR="00425C75" w:rsidRDefault="00425C75">
            <w:pPr>
              <w:pStyle w:val="CompanyName"/>
              <w:spacing w:line="256" w:lineRule="auto"/>
              <w:jc w:val="right"/>
              <w:rPr>
                <w:rFonts w:asciiTheme="minorHAnsi" w:hAnsiTheme="minorHAnsi" w:cstheme="minorHAnsi"/>
                <w:color w:val="0B3C61"/>
                <w:spacing w:val="0"/>
                <w:sz w:val="17"/>
                <w:szCs w:val="17"/>
              </w:rPr>
            </w:pPr>
            <w:r>
              <w:rPr>
                <w:rFonts w:asciiTheme="minorHAnsi" w:hAnsiTheme="minorHAnsi" w:cstheme="minorHAnsi"/>
                <w:color w:val="0B3C61"/>
                <w:spacing w:val="0"/>
                <w:sz w:val="17"/>
                <w:szCs w:val="17"/>
              </w:rPr>
              <w:t>ROY COOPER</w:t>
            </w:r>
          </w:p>
          <w:p w14:paraId="43D53418" w14:textId="77777777" w:rsidR="00425C75" w:rsidRPr="00AC37E6" w:rsidRDefault="00425C75">
            <w:pPr>
              <w:pStyle w:val="CompanyName"/>
              <w:spacing w:line="256" w:lineRule="auto"/>
              <w:jc w:val="right"/>
              <w:rPr>
                <w:rFonts w:asciiTheme="minorHAnsi" w:hAnsiTheme="minorHAnsi" w:cstheme="minorHAnsi"/>
                <w:color w:val="0070C0"/>
                <w:spacing w:val="0"/>
                <w:sz w:val="17"/>
                <w:szCs w:val="17"/>
              </w:rPr>
            </w:pPr>
            <w:r w:rsidRPr="00AC37E6">
              <w:rPr>
                <w:rFonts w:asciiTheme="minorHAnsi" w:hAnsiTheme="minorHAnsi" w:cstheme="minorHAnsi"/>
                <w:b w:val="0"/>
                <w:i/>
                <w:color w:val="0070C0"/>
                <w:spacing w:val="0"/>
                <w:sz w:val="15"/>
                <w:szCs w:val="15"/>
              </w:rPr>
              <w:t>Governor</w:t>
            </w:r>
            <w:r w:rsidRPr="00AC37E6">
              <w:rPr>
                <w:rFonts w:asciiTheme="minorHAnsi" w:hAnsiTheme="minorHAnsi" w:cstheme="minorHAnsi"/>
                <w:color w:val="0070C0"/>
                <w:spacing w:val="0"/>
                <w:sz w:val="17"/>
                <w:szCs w:val="17"/>
              </w:rPr>
              <w:t xml:space="preserve"> </w:t>
            </w:r>
          </w:p>
          <w:p w14:paraId="653C5BF3" w14:textId="77777777" w:rsidR="00425C75" w:rsidRDefault="00425C75">
            <w:pPr>
              <w:pStyle w:val="CompanyName"/>
              <w:spacing w:line="256" w:lineRule="auto"/>
              <w:jc w:val="right"/>
              <w:rPr>
                <w:rFonts w:asciiTheme="minorHAnsi" w:hAnsiTheme="minorHAnsi" w:cstheme="minorHAnsi"/>
                <w:color w:val="0B3C61"/>
                <w:spacing w:val="0"/>
                <w:sz w:val="17"/>
                <w:szCs w:val="17"/>
              </w:rPr>
            </w:pPr>
          </w:p>
          <w:p w14:paraId="57A0744F" w14:textId="77777777" w:rsidR="00425C75" w:rsidRDefault="00425C75">
            <w:pPr>
              <w:pStyle w:val="CompanyName"/>
              <w:spacing w:line="256" w:lineRule="auto"/>
              <w:jc w:val="right"/>
              <w:rPr>
                <w:rFonts w:asciiTheme="minorHAnsi" w:hAnsiTheme="minorHAnsi" w:cstheme="minorHAnsi"/>
                <w:color w:val="auto"/>
                <w:spacing w:val="0"/>
                <w:sz w:val="17"/>
                <w:szCs w:val="17"/>
              </w:rPr>
            </w:pPr>
            <w:r>
              <w:rPr>
                <w:rFonts w:asciiTheme="minorHAnsi" w:hAnsiTheme="minorHAnsi" w:cstheme="minorHAnsi"/>
                <w:color w:val="0B3C61"/>
                <w:spacing w:val="0"/>
                <w:sz w:val="17"/>
                <w:szCs w:val="17"/>
              </w:rPr>
              <w:t>BARBARA GIBSON</w:t>
            </w:r>
          </w:p>
          <w:p w14:paraId="419ADE47" w14:textId="77777777" w:rsidR="00425C75" w:rsidRDefault="00425C75">
            <w:pPr>
              <w:pStyle w:val="CompanyName"/>
              <w:spacing w:line="256" w:lineRule="auto"/>
              <w:jc w:val="right"/>
              <w:rPr>
                <w:rFonts w:ascii="Times New Roman" w:hAnsi="Times New Roman" w:cs="Times New Roman"/>
                <w:b w:val="0"/>
                <w:i/>
                <w:color w:val="auto"/>
                <w:spacing w:val="0"/>
                <w:sz w:val="15"/>
                <w:szCs w:val="15"/>
              </w:rPr>
            </w:pPr>
            <w:r w:rsidRPr="00AC37E6">
              <w:rPr>
                <w:rFonts w:asciiTheme="minorHAnsi" w:hAnsiTheme="minorHAnsi" w:cstheme="minorHAnsi"/>
                <w:b w:val="0"/>
                <w:i/>
                <w:color w:val="0070C0"/>
                <w:spacing w:val="0"/>
                <w:sz w:val="15"/>
                <w:szCs w:val="15"/>
              </w:rPr>
              <w:t>Director, State Human Resources</w:t>
            </w:r>
          </w:p>
        </w:tc>
      </w:tr>
    </w:tbl>
    <w:tbl>
      <w:tblPr>
        <w:tblStyle w:val="TableGrid"/>
        <w:tblpPr w:leftFromText="180" w:rightFromText="180" w:vertAnchor="text" w:horzAnchor="margin" w:tblpY="10616"/>
        <w:tblW w:w="0" w:type="auto"/>
        <w:tblLook w:val="04A0" w:firstRow="1" w:lastRow="0" w:firstColumn="1" w:lastColumn="0" w:noHBand="0" w:noVBand="1"/>
        <w:tblDescription w:val="Company name"/>
      </w:tblPr>
      <w:tblGrid>
        <w:gridCol w:w="9350"/>
      </w:tblGrid>
      <w:tr w:rsidR="00D14C2C" w14:paraId="367037E5" w14:textId="77777777" w:rsidTr="00D14C2C">
        <w:trPr>
          <w:trHeight w:val="180"/>
        </w:trPr>
        <w:tc>
          <w:tcPr>
            <w:tcW w:w="9350" w:type="dxa"/>
            <w:tcBorders>
              <w:top w:val="nil"/>
              <w:left w:val="nil"/>
              <w:bottom w:val="nil"/>
              <w:right w:val="nil"/>
            </w:tcBorders>
          </w:tcPr>
          <w:p w14:paraId="1CA27BED" w14:textId="77777777" w:rsidR="00587B17" w:rsidRDefault="00587B17" w:rsidP="00587B17">
            <w:pPr>
              <w:pStyle w:val="BasicParagraph"/>
              <w:tabs>
                <w:tab w:val="right" w:pos="80"/>
              </w:tabs>
              <w:spacing w:line="240" w:lineRule="auto"/>
              <w:jc w:val="center"/>
              <w:rPr>
                <w:rFonts w:asciiTheme="minorHAnsi" w:hAnsiTheme="minorHAnsi" w:cstheme="minorHAnsi"/>
                <w:b/>
                <w:color w:val="002060"/>
                <w:sz w:val="15"/>
                <w:szCs w:val="15"/>
              </w:rPr>
            </w:pPr>
            <w:r>
              <w:rPr>
                <w:rFonts w:asciiTheme="minorHAnsi" w:hAnsiTheme="minorHAnsi" w:cstheme="minorHAnsi"/>
                <w:b/>
                <w:color w:val="002060"/>
                <w:sz w:val="15"/>
                <w:szCs w:val="15"/>
              </w:rPr>
              <w:t>Equal Opportunity Employer</w:t>
            </w:r>
          </w:p>
          <w:p w14:paraId="2078FCE7" w14:textId="77777777" w:rsidR="00587B17" w:rsidRDefault="00587B17" w:rsidP="00587B17">
            <w:pPr>
              <w:pStyle w:val="BasicParagraph"/>
              <w:tabs>
                <w:tab w:val="right" w:pos="80"/>
              </w:tabs>
              <w:spacing w:line="240" w:lineRule="auto"/>
              <w:jc w:val="center"/>
              <w:rPr>
                <w:rFonts w:asciiTheme="minorHAnsi" w:hAnsiTheme="minorHAnsi" w:cstheme="minorHAnsi"/>
                <w:b/>
                <w:color w:val="002060"/>
                <w:sz w:val="15"/>
                <w:szCs w:val="15"/>
              </w:rPr>
            </w:pPr>
            <w:r>
              <w:rPr>
                <w:rFonts w:asciiTheme="minorHAnsi" w:hAnsiTheme="minorHAnsi" w:cstheme="minorHAnsi"/>
                <w:b/>
                <w:color w:val="002060"/>
                <w:sz w:val="15"/>
                <w:szCs w:val="15"/>
              </w:rPr>
              <w:t>Employment First State for Individuals with Disabilities</w:t>
            </w:r>
          </w:p>
          <w:p w14:paraId="5C8B0089" w14:textId="77777777" w:rsidR="00587B17" w:rsidRDefault="00587B17" w:rsidP="00587B17">
            <w:pPr>
              <w:pStyle w:val="BasicParagraph"/>
              <w:tabs>
                <w:tab w:val="right" w:pos="80"/>
              </w:tabs>
              <w:spacing w:line="240" w:lineRule="auto"/>
              <w:jc w:val="center"/>
              <w:rPr>
                <w:rFonts w:asciiTheme="minorHAnsi" w:hAnsiTheme="minorHAnsi" w:cstheme="minorHAnsi"/>
                <w:b/>
                <w:color w:val="002060"/>
                <w:sz w:val="15"/>
                <w:szCs w:val="15"/>
              </w:rPr>
            </w:pPr>
            <w:r>
              <w:rPr>
                <w:rFonts w:asciiTheme="minorHAnsi" w:hAnsiTheme="minorHAnsi" w:cstheme="minorHAnsi"/>
                <w:b/>
                <w:color w:val="002060"/>
                <w:sz w:val="15"/>
                <w:szCs w:val="15"/>
              </w:rPr>
              <w:t xml:space="preserve">State of North Carolina </w:t>
            </w:r>
            <w:r>
              <w:rPr>
                <w:rFonts w:asciiTheme="minorHAnsi" w:hAnsiTheme="minorHAnsi" w:cstheme="minorHAnsi"/>
                <w:b/>
                <w:color w:val="002060"/>
                <w:sz w:val="15"/>
                <w:szCs w:val="15"/>
              </w:rPr>
              <w:sym w:font="Symbol" w:char="F0B7"/>
            </w:r>
            <w:r>
              <w:rPr>
                <w:rFonts w:asciiTheme="minorHAnsi" w:hAnsiTheme="minorHAnsi" w:cstheme="minorHAnsi"/>
                <w:b/>
                <w:color w:val="002060"/>
                <w:sz w:val="15"/>
                <w:szCs w:val="15"/>
              </w:rPr>
              <w:t xml:space="preserve"> Office of State Human Resources </w:t>
            </w:r>
          </w:p>
          <w:p w14:paraId="5D2FF49E" w14:textId="77777777" w:rsidR="00BF25F5" w:rsidRPr="00BF332C" w:rsidRDefault="00BF25F5" w:rsidP="00BF25F5">
            <w:pPr>
              <w:jc w:val="center"/>
              <w:rPr>
                <w:rFonts w:cstheme="minorHAnsi"/>
                <w:b/>
                <w:color w:val="0070C0"/>
                <w:sz w:val="15"/>
                <w:szCs w:val="15"/>
              </w:rPr>
            </w:pPr>
            <w:r w:rsidRPr="00BF332C">
              <w:rPr>
                <w:rFonts w:cstheme="minorHAnsi"/>
                <w:b/>
                <w:color w:val="0070C0"/>
                <w:sz w:val="15"/>
                <w:szCs w:val="15"/>
              </w:rPr>
              <w:t xml:space="preserve">116 West Jones Street </w:t>
            </w:r>
            <w:r w:rsidRPr="00BF332C">
              <w:rPr>
                <w:rFonts w:cstheme="minorHAnsi"/>
                <w:b/>
                <w:color w:val="0070C0"/>
                <w:sz w:val="15"/>
                <w:szCs w:val="15"/>
              </w:rPr>
              <w:sym w:font="Symbol" w:char="F0B7"/>
            </w:r>
            <w:r w:rsidRPr="00BF332C">
              <w:rPr>
                <w:rFonts w:cstheme="minorHAnsi"/>
                <w:b/>
                <w:color w:val="0070C0"/>
                <w:sz w:val="15"/>
                <w:szCs w:val="15"/>
              </w:rPr>
              <w:t xml:space="preserve"> 1331 Mail Service Center </w:t>
            </w:r>
            <w:r w:rsidRPr="00BF332C">
              <w:rPr>
                <w:rFonts w:cstheme="minorHAnsi"/>
                <w:b/>
                <w:color w:val="0070C0"/>
                <w:sz w:val="15"/>
                <w:szCs w:val="15"/>
              </w:rPr>
              <w:sym w:font="Symbol" w:char="F0B7"/>
            </w:r>
            <w:r w:rsidRPr="00BF332C">
              <w:rPr>
                <w:rFonts w:cstheme="minorHAnsi"/>
                <w:b/>
                <w:color w:val="0070C0"/>
                <w:sz w:val="15"/>
                <w:szCs w:val="15"/>
              </w:rPr>
              <w:t xml:space="preserve"> Raleigh, NC 27699-1331</w:t>
            </w:r>
          </w:p>
          <w:p w14:paraId="7FCB545C" w14:textId="13C84983" w:rsidR="00D14C2C" w:rsidRPr="00E819AD" w:rsidRDefault="00BF25F5" w:rsidP="00BF25F5">
            <w:pPr>
              <w:autoSpaceDE w:val="0"/>
              <w:autoSpaceDN w:val="0"/>
              <w:adjustRightInd w:val="0"/>
              <w:jc w:val="center"/>
              <w:rPr>
                <w:rFonts w:ascii="Times New Roman" w:hAnsi="Times New Roman" w:cs="Times New Roman"/>
                <w:color w:val="404040"/>
                <w:spacing w:val="-1"/>
                <w:sz w:val="15"/>
                <w:szCs w:val="15"/>
              </w:rPr>
            </w:pPr>
            <w:r w:rsidRPr="00BF332C">
              <w:rPr>
                <w:rFonts w:cstheme="minorHAnsi"/>
                <w:b/>
                <w:color w:val="0070C0"/>
                <w:sz w:val="15"/>
                <w:szCs w:val="15"/>
              </w:rPr>
              <w:t xml:space="preserve">oshr.nc.gov </w:t>
            </w:r>
            <w:r w:rsidRPr="00BF332C">
              <w:rPr>
                <w:rFonts w:cstheme="minorHAnsi"/>
                <w:b/>
                <w:color w:val="0070C0"/>
                <w:sz w:val="15"/>
                <w:szCs w:val="15"/>
              </w:rPr>
              <w:sym w:font="Symbol" w:char="F0B7"/>
            </w:r>
            <w:r w:rsidRPr="00BF332C">
              <w:rPr>
                <w:rFonts w:cstheme="minorHAnsi"/>
                <w:b/>
                <w:color w:val="0070C0"/>
                <w:sz w:val="15"/>
                <w:szCs w:val="15"/>
              </w:rPr>
              <w:t xml:space="preserve"> </w:t>
            </w:r>
            <w:proofErr w:type="gramStart"/>
            <w:r>
              <w:rPr>
                <w:rFonts w:cstheme="minorHAnsi"/>
                <w:b/>
                <w:color w:val="0070C0"/>
                <w:sz w:val="15"/>
                <w:szCs w:val="15"/>
              </w:rPr>
              <w:t>984</w:t>
            </w:r>
            <w:r w:rsidRPr="00BF332C">
              <w:rPr>
                <w:rFonts w:cstheme="minorHAnsi"/>
                <w:b/>
                <w:color w:val="0070C0"/>
                <w:sz w:val="15"/>
                <w:szCs w:val="15"/>
              </w:rPr>
              <w:t>.</w:t>
            </w:r>
            <w:r>
              <w:rPr>
                <w:rFonts w:cstheme="minorHAnsi"/>
                <w:b/>
                <w:color w:val="0070C0"/>
                <w:sz w:val="15"/>
                <w:szCs w:val="15"/>
              </w:rPr>
              <w:t>236.0800</w:t>
            </w:r>
            <w:r w:rsidRPr="00BF332C">
              <w:rPr>
                <w:rFonts w:cstheme="minorHAnsi"/>
                <w:b/>
                <w:color w:val="0070C0"/>
                <w:sz w:val="15"/>
                <w:szCs w:val="15"/>
              </w:rPr>
              <w:t xml:space="preserve">  T</w:t>
            </w:r>
            <w:proofErr w:type="gramEnd"/>
            <w:r w:rsidRPr="00BF332C">
              <w:rPr>
                <w:rFonts w:cstheme="minorHAnsi"/>
                <w:b/>
                <w:color w:val="0070C0"/>
                <w:sz w:val="15"/>
                <w:szCs w:val="15"/>
              </w:rPr>
              <w:t xml:space="preserve"> </w:t>
            </w:r>
            <w:r w:rsidRPr="00BF332C">
              <w:rPr>
                <w:rFonts w:cstheme="minorHAnsi"/>
                <w:b/>
                <w:color w:val="0070C0"/>
                <w:sz w:val="15"/>
                <w:szCs w:val="15"/>
              </w:rPr>
              <w:sym w:font="Symbol" w:char="F0B7"/>
            </w:r>
            <w:r w:rsidRPr="00BF332C">
              <w:rPr>
                <w:rFonts w:cstheme="minorHAnsi"/>
                <w:b/>
                <w:color w:val="0070C0"/>
                <w:sz w:val="15"/>
                <w:szCs w:val="15"/>
              </w:rPr>
              <w:t xml:space="preserve"> </w:t>
            </w:r>
            <w:r>
              <w:rPr>
                <w:rFonts w:cstheme="minorHAnsi"/>
                <w:b/>
                <w:color w:val="0070C0"/>
                <w:sz w:val="15"/>
                <w:szCs w:val="15"/>
              </w:rPr>
              <w:t>984.236.0947</w:t>
            </w:r>
            <w:r w:rsidRPr="00BF332C">
              <w:rPr>
                <w:rFonts w:cstheme="minorHAnsi"/>
                <w:b/>
                <w:color w:val="0070C0"/>
                <w:spacing w:val="-1"/>
                <w:sz w:val="15"/>
                <w:szCs w:val="15"/>
              </w:rPr>
              <w:t xml:space="preserve">  F</w:t>
            </w:r>
          </w:p>
        </w:tc>
      </w:tr>
    </w:tbl>
    <w:p w14:paraId="138EE80F" w14:textId="77777777" w:rsidR="001A4505" w:rsidRPr="008A433E" w:rsidRDefault="001A4505" w:rsidP="000219D2">
      <w:pPr>
        <w:pStyle w:val="Default"/>
        <w:spacing w:before="120" w:after="120"/>
        <w:rPr>
          <w:rFonts w:asciiTheme="minorHAnsi" w:hAnsiTheme="minorHAnsi" w:cstheme="minorHAnsi"/>
          <w:b/>
          <w:sz w:val="22"/>
          <w:szCs w:val="22"/>
        </w:rPr>
      </w:pPr>
      <w:r w:rsidRPr="008A433E">
        <w:rPr>
          <w:rFonts w:asciiTheme="minorHAnsi" w:hAnsiTheme="minorHAnsi" w:cstheme="minorHAnsi"/>
          <w:b/>
          <w:sz w:val="22"/>
          <w:szCs w:val="22"/>
        </w:rPr>
        <w:t xml:space="preserve">Memorandum </w:t>
      </w:r>
    </w:p>
    <w:p w14:paraId="6C693CCC" w14:textId="77777777" w:rsidR="001A4505" w:rsidRDefault="001A4505" w:rsidP="001A4505">
      <w:pPr>
        <w:pStyle w:val="Default"/>
        <w:rPr>
          <w:rFonts w:asciiTheme="minorHAnsi" w:hAnsiTheme="minorHAnsi" w:cstheme="minorHAnsi"/>
          <w:bCs/>
          <w:sz w:val="22"/>
          <w:szCs w:val="22"/>
        </w:rPr>
      </w:pPr>
      <w:r w:rsidRPr="008A433E">
        <w:rPr>
          <w:rFonts w:asciiTheme="minorHAnsi" w:hAnsiTheme="minorHAnsi" w:cstheme="minorHAnsi"/>
          <w:bCs/>
          <w:sz w:val="22"/>
          <w:szCs w:val="22"/>
        </w:rPr>
        <w:t>TO:</w:t>
      </w:r>
      <w:r w:rsidRPr="008A433E">
        <w:rPr>
          <w:rFonts w:asciiTheme="minorHAnsi" w:hAnsiTheme="minorHAnsi" w:cstheme="minorHAnsi"/>
          <w:bCs/>
          <w:sz w:val="22"/>
          <w:szCs w:val="22"/>
        </w:rPr>
        <w:tab/>
      </w:r>
      <w:r w:rsidRPr="008A433E">
        <w:rPr>
          <w:rFonts w:asciiTheme="minorHAnsi" w:hAnsiTheme="minorHAnsi" w:cstheme="minorHAnsi"/>
          <w:bCs/>
          <w:sz w:val="22"/>
          <w:szCs w:val="22"/>
        </w:rPr>
        <w:tab/>
      </w:r>
      <w:r>
        <w:rPr>
          <w:rFonts w:asciiTheme="minorHAnsi" w:hAnsiTheme="minorHAnsi" w:cstheme="minorHAnsi"/>
          <w:bCs/>
          <w:sz w:val="22"/>
          <w:szCs w:val="22"/>
        </w:rPr>
        <w:t>Agency Human Resources Directors</w:t>
      </w:r>
    </w:p>
    <w:p w14:paraId="1C4E448A" w14:textId="77777777" w:rsidR="001A4505" w:rsidRDefault="001A4505" w:rsidP="001A4505">
      <w:pPr>
        <w:pStyle w:val="Default"/>
        <w:rPr>
          <w:rFonts w:asciiTheme="minorHAnsi" w:hAnsiTheme="minorHAnsi" w:cstheme="minorHAnsi"/>
          <w:bCs/>
          <w:sz w:val="22"/>
          <w:szCs w:val="22"/>
        </w:rPr>
      </w:pPr>
      <w:r>
        <w:rPr>
          <w:rFonts w:asciiTheme="minorHAnsi" w:hAnsiTheme="minorHAnsi" w:cstheme="minorHAnsi"/>
          <w:bCs/>
          <w:sz w:val="22"/>
          <w:szCs w:val="22"/>
        </w:rPr>
        <w:t>CC:</w:t>
      </w:r>
      <w:r>
        <w:rPr>
          <w:rFonts w:asciiTheme="minorHAnsi" w:hAnsiTheme="minorHAnsi" w:cstheme="minorHAnsi"/>
          <w:bCs/>
          <w:sz w:val="22"/>
          <w:szCs w:val="22"/>
        </w:rPr>
        <w:tab/>
      </w:r>
      <w:r>
        <w:rPr>
          <w:rFonts w:asciiTheme="minorHAnsi" w:hAnsiTheme="minorHAnsi" w:cstheme="minorHAnsi"/>
          <w:bCs/>
          <w:sz w:val="22"/>
          <w:szCs w:val="22"/>
        </w:rPr>
        <w:tab/>
        <w:t>OSHR Leadership Team, Learning and Development Team</w:t>
      </w:r>
    </w:p>
    <w:p w14:paraId="01A8214D" w14:textId="1DF658F3" w:rsidR="001A4505" w:rsidRDefault="001A4505" w:rsidP="001A4505">
      <w:pPr>
        <w:pStyle w:val="Default"/>
        <w:rPr>
          <w:rFonts w:asciiTheme="minorHAnsi" w:hAnsiTheme="minorHAnsi" w:cstheme="minorHAnsi"/>
          <w:bCs/>
          <w:sz w:val="22"/>
          <w:szCs w:val="22"/>
        </w:rPr>
      </w:pPr>
      <w:r w:rsidRPr="008A433E">
        <w:rPr>
          <w:rFonts w:asciiTheme="minorHAnsi" w:hAnsiTheme="minorHAnsi" w:cstheme="minorHAnsi"/>
          <w:bCs/>
          <w:sz w:val="22"/>
          <w:szCs w:val="22"/>
        </w:rPr>
        <w:t>FROM:</w:t>
      </w:r>
      <w:r w:rsidRPr="008A433E">
        <w:rPr>
          <w:rFonts w:asciiTheme="minorHAnsi" w:hAnsiTheme="minorHAnsi" w:cstheme="minorHAnsi"/>
          <w:bCs/>
          <w:sz w:val="22"/>
          <w:szCs w:val="22"/>
        </w:rPr>
        <w:tab/>
      </w:r>
      <w:r w:rsidRPr="008A433E">
        <w:rPr>
          <w:rFonts w:asciiTheme="minorHAnsi" w:hAnsiTheme="minorHAnsi" w:cstheme="minorHAnsi"/>
          <w:bCs/>
          <w:sz w:val="22"/>
          <w:szCs w:val="22"/>
        </w:rPr>
        <w:tab/>
      </w:r>
      <w:r w:rsidR="00E354D5">
        <w:rPr>
          <w:rFonts w:eastAsia="Arial" w:cstheme="minorHAnsi"/>
        </w:rPr>
        <w:t>Joel Jordan, State Learning and Development Manager</w:t>
      </w:r>
    </w:p>
    <w:p w14:paraId="2A123F2C" w14:textId="5295AA4F" w:rsidR="001A4505" w:rsidRPr="008A433E" w:rsidRDefault="001A4505" w:rsidP="001A4505">
      <w:pPr>
        <w:pStyle w:val="Default"/>
        <w:pBdr>
          <w:bottom w:val="single" w:sz="6" w:space="1" w:color="auto"/>
        </w:pBdr>
        <w:rPr>
          <w:rFonts w:asciiTheme="minorHAnsi" w:hAnsiTheme="minorHAnsi" w:cstheme="minorHAnsi"/>
          <w:bCs/>
          <w:sz w:val="22"/>
          <w:szCs w:val="22"/>
        </w:rPr>
      </w:pPr>
      <w:r w:rsidRPr="008A433E">
        <w:rPr>
          <w:rFonts w:asciiTheme="minorHAnsi" w:hAnsiTheme="minorHAnsi" w:cstheme="minorHAnsi"/>
          <w:bCs/>
          <w:sz w:val="22"/>
          <w:szCs w:val="22"/>
        </w:rPr>
        <w:t>DATE:</w:t>
      </w:r>
      <w:r w:rsidRPr="008A433E">
        <w:rPr>
          <w:rFonts w:asciiTheme="minorHAnsi" w:hAnsiTheme="minorHAnsi" w:cstheme="minorHAnsi"/>
          <w:bCs/>
          <w:sz w:val="22"/>
          <w:szCs w:val="22"/>
        </w:rPr>
        <w:tab/>
      </w:r>
      <w:r w:rsidRPr="008A433E">
        <w:rPr>
          <w:rFonts w:asciiTheme="minorHAnsi" w:hAnsiTheme="minorHAnsi" w:cstheme="minorHAnsi"/>
          <w:bCs/>
          <w:sz w:val="22"/>
          <w:szCs w:val="22"/>
        </w:rPr>
        <w:tab/>
      </w:r>
      <w:r w:rsidR="00E354D5">
        <w:rPr>
          <w:rFonts w:asciiTheme="minorHAnsi" w:hAnsiTheme="minorHAnsi" w:cstheme="minorHAnsi"/>
          <w:bCs/>
          <w:sz w:val="22"/>
          <w:szCs w:val="22"/>
        </w:rPr>
        <w:t>December 5</w:t>
      </w:r>
      <w:r>
        <w:rPr>
          <w:rFonts w:asciiTheme="minorHAnsi" w:hAnsiTheme="minorHAnsi" w:cstheme="minorHAnsi"/>
          <w:bCs/>
          <w:sz w:val="22"/>
          <w:szCs w:val="22"/>
        </w:rPr>
        <w:t>, 2022</w:t>
      </w:r>
    </w:p>
    <w:p w14:paraId="1FA28CF8" w14:textId="47F42BD6" w:rsidR="00E354D5" w:rsidRPr="0022209D" w:rsidRDefault="001A4505" w:rsidP="000219D2">
      <w:pPr>
        <w:pStyle w:val="Default"/>
        <w:pBdr>
          <w:bottom w:val="single" w:sz="6" w:space="1" w:color="auto"/>
        </w:pBdr>
        <w:ind w:left="1440" w:hanging="1440"/>
        <w:rPr>
          <w:rFonts w:cstheme="minorHAnsi"/>
          <w:b/>
          <w:bCs/>
          <w:spacing w:val="5"/>
          <w:kern w:val="28"/>
          <w:sz w:val="22"/>
          <w:szCs w:val="22"/>
        </w:rPr>
      </w:pPr>
      <w:r w:rsidRPr="0022209D">
        <w:rPr>
          <w:rFonts w:asciiTheme="minorHAnsi" w:hAnsiTheme="minorHAnsi" w:cstheme="minorHAnsi"/>
          <w:bCs/>
          <w:sz w:val="22"/>
          <w:szCs w:val="22"/>
        </w:rPr>
        <w:t>RE:</w:t>
      </w:r>
      <w:r w:rsidRPr="0022209D">
        <w:rPr>
          <w:rFonts w:asciiTheme="minorHAnsi" w:hAnsiTheme="minorHAnsi" w:cstheme="minorHAnsi"/>
          <w:bCs/>
          <w:sz w:val="22"/>
          <w:szCs w:val="22"/>
        </w:rPr>
        <w:tab/>
      </w:r>
      <w:r w:rsidR="000219D2" w:rsidRPr="0022209D">
        <w:rPr>
          <w:rFonts w:eastAsia="Arial" w:cstheme="minorHAnsi"/>
          <w:sz w:val="22"/>
          <w:szCs w:val="22"/>
        </w:rPr>
        <w:t>2022</w:t>
      </w:r>
      <w:r w:rsidR="00E00010">
        <w:rPr>
          <w:rFonts w:eastAsia="Arial" w:cstheme="minorHAnsi"/>
          <w:sz w:val="22"/>
          <w:szCs w:val="22"/>
        </w:rPr>
        <w:t>-</w:t>
      </w:r>
      <w:r w:rsidR="000219D2" w:rsidRPr="0022209D">
        <w:rPr>
          <w:rFonts w:eastAsia="Arial" w:cstheme="minorHAnsi"/>
          <w:sz w:val="22"/>
          <w:szCs w:val="22"/>
        </w:rPr>
        <w:t>2023 Academic Assistance Ceiling Rates and 2021-2022 Data Collection</w:t>
      </w:r>
      <w:r w:rsidR="000219D2" w:rsidRPr="0022209D">
        <w:rPr>
          <w:rFonts w:cstheme="minorHAnsi"/>
          <w:b/>
          <w:bCs/>
          <w:spacing w:val="5"/>
          <w:kern w:val="28"/>
          <w:sz w:val="22"/>
          <w:szCs w:val="22"/>
        </w:rPr>
        <w:t xml:space="preserve"> </w:t>
      </w:r>
    </w:p>
    <w:p w14:paraId="4AB344C4" w14:textId="77777777" w:rsidR="00E354D5" w:rsidRPr="000219D2" w:rsidRDefault="00E354D5" w:rsidP="00E354D5">
      <w:pPr>
        <w:spacing w:after="0" w:line="240" w:lineRule="auto"/>
        <w:jc w:val="both"/>
        <w:rPr>
          <w:rFonts w:ascii="Arial" w:eastAsia="Times New Roman" w:hAnsi="Arial" w:cs="Arial"/>
          <w:i/>
          <w:iCs/>
          <w:sz w:val="21"/>
          <w:szCs w:val="21"/>
        </w:rPr>
      </w:pPr>
    </w:p>
    <w:p w14:paraId="5A61E7DF" w14:textId="6A7EF79D" w:rsidR="00E354D5" w:rsidRPr="000219D2" w:rsidRDefault="00E354D5" w:rsidP="00E354D5">
      <w:pPr>
        <w:spacing w:after="0" w:line="276" w:lineRule="auto"/>
        <w:rPr>
          <w:rFonts w:eastAsia="Times New Roman" w:cstheme="minorHAnsi"/>
        </w:rPr>
      </w:pPr>
      <w:r w:rsidRPr="000219D2">
        <w:rPr>
          <w:rFonts w:eastAsia="Times New Roman" w:cstheme="minorHAnsi"/>
        </w:rPr>
        <w:t>The Academic Assistance Program ceiling rates for the 2022–2023 fiscal year have been determined, are listed below</w:t>
      </w:r>
      <w:r w:rsidR="0022209D">
        <w:rPr>
          <w:rFonts w:eastAsia="Times New Roman" w:cstheme="minorHAnsi"/>
        </w:rPr>
        <w:t>,</w:t>
      </w:r>
      <w:r w:rsidRPr="000219D2">
        <w:rPr>
          <w:rFonts w:eastAsia="Times New Roman" w:cstheme="minorHAnsi"/>
        </w:rPr>
        <w:t xml:space="preserve"> and are now in effect. The ceiling rates were established based on the published UNC tuition rates. These rates apply to all educational institutions that are </w:t>
      </w:r>
      <w:r w:rsidRPr="000219D2">
        <w:rPr>
          <w:rFonts w:eastAsia="Times New Roman" w:cstheme="minorHAnsi"/>
          <w:b/>
          <w:bCs/>
          <w:u w:val="single"/>
        </w:rPr>
        <w:t>not</w:t>
      </w:r>
      <w:r w:rsidRPr="000219D2">
        <w:rPr>
          <w:rFonts w:eastAsia="Times New Roman" w:cstheme="minorHAnsi"/>
        </w:rPr>
        <w:t xml:space="preserve"> University of North Carolina institutions or institutions of the North Carolina Community College System. Academic costs charged by institutions of the University of North Carolina and North Carolina Community College System are 100% reimbursable, if funds are available.</w:t>
      </w:r>
    </w:p>
    <w:p w14:paraId="79093997" w14:textId="77777777" w:rsidR="00E354D5" w:rsidRPr="000219D2" w:rsidRDefault="00E354D5" w:rsidP="00E354D5">
      <w:pPr>
        <w:spacing w:after="0" w:line="240" w:lineRule="auto"/>
        <w:rPr>
          <w:rFonts w:ascii="Arial" w:eastAsia="Times New Roman" w:hAnsi="Arial" w:cs="Arial"/>
          <w:i/>
          <w:iCs/>
          <w:sz w:val="16"/>
          <w:szCs w:val="16"/>
        </w:rPr>
      </w:pPr>
    </w:p>
    <w:p w14:paraId="71F33F0D" w14:textId="49337B0C" w:rsidR="00E354D5" w:rsidRDefault="00E354D5" w:rsidP="00E354D5">
      <w:pPr>
        <w:pStyle w:val="Caption"/>
        <w:keepNext/>
      </w:pPr>
      <w:r>
        <w:t xml:space="preserve">Table </w:t>
      </w:r>
      <w:fldSimple w:instr=" SEQ Table \* ARABIC ">
        <w:r w:rsidR="004D1A88">
          <w:rPr>
            <w:noProof/>
          </w:rPr>
          <w:t>1</w:t>
        </w:r>
      </w:fldSimple>
      <w:r>
        <w:t>/2022-2023 Ceiling Rates</w:t>
      </w:r>
    </w:p>
    <w:tbl>
      <w:tblPr>
        <w:tblW w:w="4732" w:type="pct"/>
        <w:jc w:val="center"/>
        <w:tblBorders>
          <w:top w:val="single" w:sz="12" w:space="0" w:color="000000"/>
          <w:bottom w:val="single" w:sz="12" w:space="0" w:color="000000"/>
        </w:tblBorders>
        <w:tblLook w:val="04A0" w:firstRow="1" w:lastRow="0" w:firstColumn="1" w:lastColumn="0" w:noHBand="0" w:noVBand="1"/>
      </w:tblPr>
      <w:tblGrid>
        <w:gridCol w:w="1774"/>
        <w:gridCol w:w="2129"/>
        <w:gridCol w:w="2751"/>
        <w:gridCol w:w="2749"/>
      </w:tblGrid>
      <w:tr w:rsidR="00E354D5" w:rsidRPr="00DD7868" w14:paraId="6894B814" w14:textId="77777777" w:rsidTr="00391D72">
        <w:trPr>
          <w:trHeight w:val="338"/>
          <w:jc w:val="center"/>
        </w:trPr>
        <w:tc>
          <w:tcPr>
            <w:tcW w:w="943" w:type="pct"/>
            <w:tcBorders>
              <w:bottom w:val="single" w:sz="6" w:space="0" w:color="000000"/>
              <w:right w:val="single" w:sz="6" w:space="0" w:color="000000"/>
            </w:tcBorders>
            <w:shd w:val="clear" w:color="auto" w:fill="auto"/>
          </w:tcPr>
          <w:p w14:paraId="1BC6D6D4" w14:textId="77777777" w:rsidR="00E354D5" w:rsidRPr="00DD7868" w:rsidRDefault="00E354D5" w:rsidP="00391D72">
            <w:pPr>
              <w:spacing w:after="0" w:line="240" w:lineRule="auto"/>
              <w:rPr>
                <w:rFonts w:eastAsia="Times New Roman" w:cstheme="minorHAnsi"/>
                <w:b/>
                <w:i/>
                <w:iCs/>
              </w:rPr>
            </w:pPr>
          </w:p>
        </w:tc>
        <w:tc>
          <w:tcPr>
            <w:tcW w:w="1132" w:type="pct"/>
            <w:tcBorders>
              <w:bottom w:val="single" w:sz="6" w:space="0" w:color="000000"/>
            </w:tcBorders>
            <w:shd w:val="clear" w:color="auto" w:fill="auto"/>
          </w:tcPr>
          <w:p w14:paraId="362C354B" w14:textId="77777777" w:rsidR="00E354D5" w:rsidRPr="00DD7868" w:rsidRDefault="00E354D5" w:rsidP="00391D72">
            <w:pPr>
              <w:spacing w:after="0" w:line="240" w:lineRule="auto"/>
              <w:jc w:val="center"/>
              <w:rPr>
                <w:rFonts w:eastAsia="Times New Roman" w:cstheme="minorHAnsi"/>
                <w:b/>
                <w:i/>
                <w:iCs/>
              </w:rPr>
            </w:pPr>
            <w:r w:rsidRPr="00DD7868">
              <w:rPr>
                <w:rFonts w:eastAsia="Times New Roman" w:cstheme="minorHAnsi"/>
                <w:b/>
                <w:i/>
                <w:iCs/>
              </w:rPr>
              <w:t>Ceiling Rate</w:t>
            </w:r>
          </w:p>
          <w:p w14:paraId="59055383" w14:textId="77777777" w:rsidR="00E354D5" w:rsidRPr="00DD7868" w:rsidRDefault="00E354D5" w:rsidP="00391D72">
            <w:pPr>
              <w:spacing w:after="0" w:line="240" w:lineRule="auto"/>
              <w:jc w:val="center"/>
              <w:rPr>
                <w:rFonts w:eastAsia="Times New Roman" w:cstheme="minorHAnsi"/>
                <w:b/>
                <w:i/>
                <w:iCs/>
                <w:vertAlign w:val="superscript"/>
              </w:rPr>
            </w:pPr>
            <w:r w:rsidRPr="00DD7868">
              <w:rPr>
                <w:rFonts w:eastAsia="Times New Roman" w:cstheme="minorHAnsi"/>
                <w:b/>
                <w:i/>
                <w:iCs/>
              </w:rPr>
              <w:t>(Per Credit Hour)</w:t>
            </w:r>
            <w:r w:rsidRPr="00BB6D38">
              <w:rPr>
                <w:rFonts w:eastAsia="Times New Roman" w:cstheme="minorHAnsi"/>
                <w:b/>
                <w:i/>
                <w:iCs/>
                <w:vertAlign w:val="superscript"/>
              </w:rPr>
              <w:t>1</w:t>
            </w:r>
          </w:p>
        </w:tc>
        <w:tc>
          <w:tcPr>
            <w:tcW w:w="1463" w:type="pct"/>
            <w:tcBorders>
              <w:bottom w:val="single" w:sz="6" w:space="0" w:color="000000"/>
            </w:tcBorders>
            <w:shd w:val="clear" w:color="auto" w:fill="auto"/>
          </w:tcPr>
          <w:p w14:paraId="3C61BD8E" w14:textId="77777777" w:rsidR="00E354D5" w:rsidRPr="00DD7868" w:rsidRDefault="00E354D5" w:rsidP="00391D72">
            <w:pPr>
              <w:spacing w:after="0" w:line="240" w:lineRule="auto"/>
              <w:jc w:val="center"/>
              <w:rPr>
                <w:rFonts w:eastAsia="Times New Roman" w:cstheme="minorHAnsi"/>
                <w:b/>
                <w:i/>
                <w:iCs/>
              </w:rPr>
            </w:pPr>
            <w:r w:rsidRPr="00DD7868">
              <w:rPr>
                <w:rFonts w:eastAsia="Times New Roman" w:cstheme="minorHAnsi"/>
                <w:b/>
                <w:i/>
                <w:iCs/>
              </w:rPr>
              <w:t>Ceiling Rate</w:t>
            </w:r>
          </w:p>
          <w:p w14:paraId="0CB1B8D2" w14:textId="77777777" w:rsidR="00E354D5" w:rsidRPr="00DD7868" w:rsidRDefault="00E354D5" w:rsidP="00391D72">
            <w:pPr>
              <w:spacing w:after="0" w:line="240" w:lineRule="auto"/>
              <w:jc w:val="center"/>
              <w:rPr>
                <w:rFonts w:eastAsia="Times New Roman" w:cstheme="minorHAnsi"/>
                <w:b/>
                <w:i/>
                <w:iCs/>
                <w:vertAlign w:val="superscript"/>
              </w:rPr>
            </w:pPr>
            <w:r w:rsidRPr="00DD7868">
              <w:rPr>
                <w:rFonts w:eastAsia="Times New Roman" w:cstheme="minorHAnsi"/>
                <w:b/>
                <w:i/>
                <w:iCs/>
              </w:rPr>
              <w:t>(Per Semester Tuition)</w:t>
            </w:r>
            <w:r w:rsidRPr="00BB6D38">
              <w:rPr>
                <w:rFonts w:eastAsia="Times New Roman" w:cstheme="minorHAnsi"/>
                <w:b/>
                <w:i/>
                <w:iCs/>
                <w:vertAlign w:val="superscript"/>
              </w:rPr>
              <w:t>2</w:t>
            </w:r>
          </w:p>
        </w:tc>
        <w:tc>
          <w:tcPr>
            <w:tcW w:w="1462" w:type="pct"/>
            <w:tcBorders>
              <w:bottom w:val="single" w:sz="6" w:space="0" w:color="000000"/>
            </w:tcBorders>
          </w:tcPr>
          <w:p w14:paraId="190C07AA" w14:textId="77777777" w:rsidR="00E354D5" w:rsidRPr="00DD7868" w:rsidRDefault="00E354D5" w:rsidP="00391D72">
            <w:pPr>
              <w:spacing w:after="0" w:line="240" w:lineRule="auto"/>
              <w:jc w:val="center"/>
              <w:rPr>
                <w:rFonts w:eastAsia="Times New Roman" w:cstheme="minorHAnsi"/>
                <w:b/>
                <w:i/>
                <w:iCs/>
              </w:rPr>
            </w:pPr>
            <w:r w:rsidRPr="00DD7868">
              <w:rPr>
                <w:rFonts w:eastAsia="Times New Roman" w:cstheme="minorHAnsi"/>
                <w:b/>
                <w:i/>
                <w:iCs/>
              </w:rPr>
              <w:t>Ceiling Rate</w:t>
            </w:r>
          </w:p>
          <w:p w14:paraId="7D8EC126" w14:textId="77777777" w:rsidR="00E354D5" w:rsidRPr="00DD7868" w:rsidRDefault="00E354D5" w:rsidP="00391D72">
            <w:pPr>
              <w:spacing w:after="0" w:line="240" w:lineRule="auto"/>
              <w:jc w:val="center"/>
              <w:rPr>
                <w:rFonts w:eastAsia="Times New Roman" w:cstheme="minorHAnsi"/>
                <w:b/>
                <w:i/>
                <w:iCs/>
              </w:rPr>
            </w:pPr>
            <w:r w:rsidRPr="00DD7868">
              <w:rPr>
                <w:rFonts w:eastAsia="Times New Roman" w:cstheme="minorHAnsi"/>
                <w:b/>
                <w:i/>
                <w:iCs/>
              </w:rPr>
              <w:t>(Per Semester Fee)</w:t>
            </w:r>
            <w:r w:rsidRPr="00BB6D38">
              <w:rPr>
                <w:rFonts w:eastAsia="Times New Roman" w:cstheme="minorHAnsi"/>
                <w:b/>
                <w:i/>
                <w:iCs/>
                <w:vertAlign w:val="superscript"/>
              </w:rPr>
              <w:t>3</w:t>
            </w:r>
          </w:p>
        </w:tc>
      </w:tr>
      <w:tr w:rsidR="00E354D5" w:rsidRPr="00DD7868" w14:paraId="28E8CFBA" w14:textId="77777777" w:rsidTr="00391D72">
        <w:trPr>
          <w:trHeight w:val="163"/>
          <w:jc w:val="center"/>
        </w:trPr>
        <w:tc>
          <w:tcPr>
            <w:tcW w:w="943" w:type="pct"/>
            <w:tcBorders>
              <w:right w:val="single" w:sz="6" w:space="0" w:color="000000"/>
            </w:tcBorders>
            <w:shd w:val="clear" w:color="auto" w:fill="auto"/>
          </w:tcPr>
          <w:p w14:paraId="2C66B90C" w14:textId="77777777" w:rsidR="00E354D5" w:rsidRPr="00DD7868" w:rsidRDefault="00E354D5" w:rsidP="00391D72">
            <w:pPr>
              <w:spacing w:after="0" w:line="240" w:lineRule="auto"/>
              <w:rPr>
                <w:rFonts w:eastAsia="Times New Roman" w:cstheme="minorHAnsi"/>
                <w:b/>
              </w:rPr>
            </w:pPr>
            <w:r w:rsidRPr="00DD7868">
              <w:rPr>
                <w:rFonts w:eastAsia="Times New Roman" w:cstheme="minorHAnsi"/>
                <w:b/>
              </w:rPr>
              <w:t>Undergraduate</w:t>
            </w:r>
          </w:p>
        </w:tc>
        <w:tc>
          <w:tcPr>
            <w:tcW w:w="1132" w:type="pct"/>
            <w:shd w:val="clear" w:color="auto" w:fill="auto"/>
          </w:tcPr>
          <w:p w14:paraId="7BD5DCC5" w14:textId="77777777" w:rsidR="00E354D5" w:rsidRPr="00DD7868" w:rsidRDefault="00E354D5" w:rsidP="00391D72">
            <w:pPr>
              <w:spacing w:after="0" w:line="240" w:lineRule="auto"/>
              <w:jc w:val="center"/>
              <w:rPr>
                <w:rFonts w:eastAsia="Times New Roman" w:cstheme="minorHAnsi"/>
                <w:b/>
              </w:rPr>
            </w:pPr>
            <w:r w:rsidRPr="00DD7868">
              <w:rPr>
                <w:rFonts w:eastAsia="Times New Roman" w:cstheme="minorHAnsi"/>
                <w:b/>
              </w:rPr>
              <w:t>$292.46</w:t>
            </w:r>
          </w:p>
        </w:tc>
        <w:tc>
          <w:tcPr>
            <w:tcW w:w="1463" w:type="pct"/>
            <w:shd w:val="clear" w:color="auto" w:fill="auto"/>
          </w:tcPr>
          <w:p w14:paraId="5683627B" w14:textId="77777777" w:rsidR="00E354D5" w:rsidRPr="00DD7868" w:rsidRDefault="00E354D5" w:rsidP="00391D72">
            <w:pPr>
              <w:spacing w:after="0" w:line="240" w:lineRule="auto"/>
              <w:jc w:val="center"/>
              <w:rPr>
                <w:rFonts w:eastAsia="Times New Roman" w:cstheme="minorHAnsi"/>
                <w:b/>
              </w:rPr>
            </w:pPr>
            <w:r w:rsidRPr="00DD7868">
              <w:rPr>
                <w:rFonts w:eastAsia="Times New Roman" w:cstheme="minorHAnsi"/>
                <w:b/>
              </w:rPr>
              <w:t>$3,509.50</w:t>
            </w:r>
          </w:p>
        </w:tc>
        <w:tc>
          <w:tcPr>
            <w:tcW w:w="1462" w:type="pct"/>
          </w:tcPr>
          <w:p w14:paraId="0965FEB3" w14:textId="77777777" w:rsidR="00E354D5" w:rsidRPr="00DD7868" w:rsidRDefault="00E354D5" w:rsidP="00391D72">
            <w:pPr>
              <w:spacing w:after="0" w:line="240" w:lineRule="auto"/>
              <w:jc w:val="center"/>
              <w:rPr>
                <w:rFonts w:eastAsia="Times New Roman" w:cstheme="minorHAnsi"/>
                <w:b/>
              </w:rPr>
            </w:pPr>
            <w:r w:rsidRPr="00DD7868">
              <w:rPr>
                <w:rFonts w:eastAsia="Times New Roman" w:cstheme="minorHAnsi"/>
                <w:b/>
              </w:rPr>
              <w:t>$</w:t>
            </w:r>
            <w:r>
              <w:rPr>
                <w:rFonts w:eastAsia="Times New Roman" w:cstheme="minorHAnsi"/>
                <w:b/>
              </w:rPr>
              <w:t>989.06</w:t>
            </w:r>
          </w:p>
        </w:tc>
      </w:tr>
      <w:tr w:rsidR="00E354D5" w:rsidRPr="00DD7868" w14:paraId="1CEE2148" w14:textId="77777777" w:rsidTr="00391D72">
        <w:trPr>
          <w:trHeight w:val="162"/>
          <w:jc w:val="center"/>
        </w:trPr>
        <w:tc>
          <w:tcPr>
            <w:tcW w:w="943" w:type="pct"/>
            <w:tcBorders>
              <w:right w:val="single" w:sz="6" w:space="0" w:color="000000"/>
            </w:tcBorders>
            <w:shd w:val="clear" w:color="auto" w:fill="auto"/>
          </w:tcPr>
          <w:p w14:paraId="0675DCFA" w14:textId="77777777" w:rsidR="00E354D5" w:rsidRPr="00DD7868" w:rsidRDefault="00E354D5" w:rsidP="00391D72">
            <w:pPr>
              <w:spacing w:after="0" w:line="240" w:lineRule="auto"/>
              <w:rPr>
                <w:rFonts w:eastAsia="Times New Roman" w:cstheme="minorHAnsi"/>
                <w:b/>
              </w:rPr>
            </w:pPr>
            <w:r w:rsidRPr="00DD7868">
              <w:rPr>
                <w:rFonts w:eastAsia="Times New Roman" w:cstheme="minorHAnsi"/>
                <w:b/>
              </w:rPr>
              <w:t>Graduate</w:t>
            </w:r>
          </w:p>
        </w:tc>
        <w:tc>
          <w:tcPr>
            <w:tcW w:w="1132" w:type="pct"/>
            <w:shd w:val="clear" w:color="auto" w:fill="auto"/>
          </w:tcPr>
          <w:p w14:paraId="72AB2474" w14:textId="77777777" w:rsidR="00E354D5" w:rsidRPr="00DD7868" w:rsidRDefault="00E354D5" w:rsidP="00391D72">
            <w:pPr>
              <w:spacing w:after="0" w:line="240" w:lineRule="auto"/>
              <w:jc w:val="center"/>
              <w:rPr>
                <w:rFonts w:eastAsia="Times New Roman" w:cstheme="minorHAnsi"/>
                <w:b/>
              </w:rPr>
            </w:pPr>
            <w:r w:rsidRPr="00DD7868">
              <w:rPr>
                <w:rFonts w:eastAsia="Times New Roman" w:cstheme="minorHAnsi"/>
                <w:b/>
              </w:rPr>
              <w:t>$586.23</w:t>
            </w:r>
          </w:p>
        </w:tc>
        <w:tc>
          <w:tcPr>
            <w:tcW w:w="1463" w:type="pct"/>
            <w:shd w:val="clear" w:color="auto" w:fill="auto"/>
          </w:tcPr>
          <w:p w14:paraId="2AA27AD7" w14:textId="77777777" w:rsidR="00E354D5" w:rsidRPr="00DD7868" w:rsidRDefault="00E354D5" w:rsidP="00391D72">
            <w:pPr>
              <w:spacing w:after="0" w:line="240" w:lineRule="auto"/>
              <w:jc w:val="center"/>
              <w:rPr>
                <w:rFonts w:eastAsia="Times New Roman" w:cstheme="minorHAnsi"/>
                <w:b/>
              </w:rPr>
            </w:pPr>
            <w:r w:rsidRPr="00DD7868">
              <w:rPr>
                <w:rFonts w:eastAsia="Times New Roman" w:cstheme="minorHAnsi"/>
                <w:b/>
              </w:rPr>
              <w:t>$5,276.00</w:t>
            </w:r>
          </w:p>
        </w:tc>
        <w:tc>
          <w:tcPr>
            <w:tcW w:w="1462" w:type="pct"/>
          </w:tcPr>
          <w:p w14:paraId="364F57F5" w14:textId="77777777" w:rsidR="00E354D5" w:rsidRPr="00DD7868" w:rsidRDefault="00E354D5" w:rsidP="00391D72">
            <w:pPr>
              <w:spacing w:after="0" w:line="240" w:lineRule="auto"/>
              <w:jc w:val="center"/>
              <w:rPr>
                <w:rFonts w:eastAsia="Times New Roman" w:cstheme="minorHAnsi"/>
                <w:b/>
              </w:rPr>
            </w:pPr>
            <w:r w:rsidRPr="00DD7868">
              <w:rPr>
                <w:rFonts w:eastAsia="Times New Roman" w:cstheme="minorHAnsi"/>
                <w:b/>
              </w:rPr>
              <w:t>$</w:t>
            </w:r>
            <w:r>
              <w:rPr>
                <w:rFonts w:eastAsia="Times New Roman" w:cstheme="minorHAnsi"/>
                <w:b/>
              </w:rPr>
              <w:t>991.32</w:t>
            </w:r>
          </w:p>
        </w:tc>
      </w:tr>
    </w:tbl>
    <w:p w14:paraId="14931EE3" w14:textId="77777777" w:rsidR="00E354D5" w:rsidRPr="00BB6D38" w:rsidRDefault="00E354D5" w:rsidP="00E354D5">
      <w:pPr>
        <w:autoSpaceDE w:val="0"/>
        <w:autoSpaceDN w:val="0"/>
        <w:adjustRightInd w:val="0"/>
        <w:spacing w:after="0" w:line="240" w:lineRule="auto"/>
        <w:rPr>
          <w:rFonts w:ascii="Calibri" w:hAnsi="Calibri" w:cs="Calibri"/>
          <w:color w:val="000000"/>
          <w:sz w:val="24"/>
          <w:szCs w:val="24"/>
        </w:rPr>
      </w:pPr>
    </w:p>
    <w:p w14:paraId="6B14AA3A" w14:textId="385B2E7C" w:rsidR="00E354D5" w:rsidRPr="000219D2" w:rsidRDefault="00E354D5" w:rsidP="00386AA9">
      <w:pPr>
        <w:autoSpaceDE w:val="0"/>
        <w:autoSpaceDN w:val="0"/>
        <w:adjustRightInd w:val="0"/>
        <w:spacing w:after="60" w:line="276" w:lineRule="auto"/>
        <w:ind w:left="720"/>
        <w:rPr>
          <w:rFonts w:ascii="Calibri" w:hAnsi="Calibri" w:cs="Calibri"/>
          <w:color w:val="000000"/>
          <w:sz w:val="18"/>
          <w:szCs w:val="18"/>
        </w:rPr>
      </w:pPr>
      <w:r w:rsidRPr="000219D2">
        <w:rPr>
          <w:rFonts w:ascii="Calibri" w:hAnsi="Calibri" w:cs="Calibri"/>
          <w:b/>
          <w:bCs/>
          <w:color w:val="000000"/>
          <w:sz w:val="18"/>
          <w:szCs w:val="18"/>
        </w:rPr>
        <w:t>1</w:t>
      </w:r>
      <w:r w:rsidRPr="000219D2">
        <w:rPr>
          <w:rFonts w:ascii="Calibri" w:hAnsi="Calibri" w:cs="Calibri"/>
          <w:color w:val="000000"/>
          <w:sz w:val="18"/>
          <w:szCs w:val="18"/>
        </w:rPr>
        <w:t xml:space="preserve"> Beginning Fall 2021, the University of North Carolina System, including UNC-Chapel Hill, will prorate tuition on a per-credit-hour basis for less than full-time students. Tuition for less than full-time students will be prorated on a per credit hour basis, rather than previously based on ranges of enrolled hours. Previously, tuition for on campus programs has been prorated for less than full-time students using the “stair-step” approach. This means that each semester, tuition was charged flat rates for ranges of credit hours up to the full-time enrollment levels of 12 credit hours for undergraduates and 9 credit hours for graduates. The per credit hour tuition rate only includes tuition and does not include fees. </w:t>
      </w:r>
    </w:p>
    <w:p w14:paraId="12D36304" w14:textId="77777777" w:rsidR="00E354D5" w:rsidRPr="000219D2" w:rsidRDefault="00E354D5" w:rsidP="00386AA9">
      <w:pPr>
        <w:autoSpaceDE w:val="0"/>
        <w:autoSpaceDN w:val="0"/>
        <w:adjustRightInd w:val="0"/>
        <w:spacing w:after="60" w:line="276" w:lineRule="auto"/>
        <w:ind w:left="720"/>
        <w:rPr>
          <w:rFonts w:ascii="Calibri" w:hAnsi="Calibri" w:cs="Calibri"/>
          <w:color w:val="000000"/>
          <w:sz w:val="18"/>
          <w:szCs w:val="18"/>
        </w:rPr>
      </w:pPr>
      <w:r w:rsidRPr="000219D2">
        <w:rPr>
          <w:rFonts w:ascii="Calibri" w:hAnsi="Calibri" w:cs="Calibri"/>
          <w:b/>
          <w:bCs/>
          <w:color w:val="000000"/>
          <w:sz w:val="18"/>
          <w:szCs w:val="18"/>
        </w:rPr>
        <w:t>2</w:t>
      </w:r>
      <w:r w:rsidRPr="000219D2">
        <w:rPr>
          <w:rFonts w:ascii="Calibri" w:hAnsi="Calibri" w:cs="Calibri"/>
          <w:color w:val="000000"/>
          <w:sz w:val="18"/>
          <w:szCs w:val="18"/>
        </w:rPr>
        <w:t xml:space="preserve"> Beginning Fall 2021, the University of North Carolina System, including UNC-Chapel Hill, tuition will be capped at the per semester, full-time enrollment levels of 12 credit hours for undergraduate students and 9 credit hours for graduate students. Undergraduate tuition is capped at 12 credit hours per semester. Graduate tuition is capped at 9 credit hours per semester. </w:t>
      </w:r>
    </w:p>
    <w:p w14:paraId="528A5250" w14:textId="77777777" w:rsidR="00E354D5" w:rsidRPr="000219D2" w:rsidRDefault="00E354D5" w:rsidP="00386AA9">
      <w:pPr>
        <w:autoSpaceDE w:val="0"/>
        <w:autoSpaceDN w:val="0"/>
        <w:adjustRightInd w:val="0"/>
        <w:spacing w:after="0" w:line="276" w:lineRule="auto"/>
        <w:ind w:left="720"/>
        <w:rPr>
          <w:rFonts w:ascii="Calibri" w:hAnsi="Calibri" w:cs="Calibri"/>
          <w:color w:val="000000"/>
          <w:sz w:val="18"/>
          <w:szCs w:val="18"/>
        </w:rPr>
      </w:pPr>
      <w:r w:rsidRPr="000219D2">
        <w:rPr>
          <w:rFonts w:ascii="Calibri" w:hAnsi="Calibri" w:cs="Calibri"/>
          <w:b/>
          <w:bCs/>
          <w:color w:val="000000"/>
          <w:sz w:val="18"/>
          <w:szCs w:val="18"/>
        </w:rPr>
        <w:t>3</w:t>
      </w:r>
      <w:r w:rsidRPr="000219D2">
        <w:rPr>
          <w:rFonts w:ascii="Calibri" w:hAnsi="Calibri" w:cs="Calibri"/>
          <w:color w:val="000000"/>
          <w:sz w:val="18"/>
          <w:szCs w:val="18"/>
        </w:rPr>
        <w:t xml:space="preserve"> In prior years, UNC published the tuition rates inclusive of mandatory academic fees. Effective for Fall 2021, the new per credit hour tuition rate does not include mandatory academic fees. These semester fees are listed as a separate line item. </w:t>
      </w:r>
    </w:p>
    <w:p w14:paraId="02B727ED" w14:textId="77777777" w:rsidR="00386AA9" w:rsidRDefault="00386AA9" w:rsidP="00E354D5">
      <w:pPr>
        <w:spacing w:after="0" w:line="240" w:lineRule="auto"/>
        <w:rPr>
          <w:rFonts w:eastAsia="Times New Roman" w:cstheme="minorHAnsi"/>
        </w:rPr>
      </w:pPr>
    </w:p>
    <w:p w14:paraId="1F84BA4E" w14:textId="4B3671C3" w:rsidR="00E354D5" w:rsidRPr="000219D2" w:rsidRDefault="00E354D5" w:rsidP="00386AA9">
      <w:pPr>
        <w:spacing w:after="120" w:line="240" w:lineRule="auto"/>
        <w:rPr>
          <w:rFonts w:eastAsia="Times New Roman" w:cstheme="minorHAnsi"/>
        </w:rPr>
      </w:pPr>
      <w:r w:rsidRPr="000219D2">
        <w:rPr>
          <w:rFonts w:eastAsia="Times New Roman" w:cstheme="minorHAnsi"/>
        </w:rPr>
        <w:t>The ceiling rates are based on the highest rate for tuition and fees charged by a University of North Carolina institution. Only academic-related fees should be considered for reimbursement. Fees associated with dormitories, athletics, student unions, cultural events, etc. should not be included.</w:t>
      </w:r>
    </w:p>
    <w:p w14:paraId="15136278" w14:textId="0D392299" w:rsidR="00386AA9" w:rsidRPr="00386AA9" w:rsidRDefault="00386AA9" w:rsidP="00386AA9">
      <w:pPr>
        <w:spacing w:after="0" w:line="240" w:lineRule="auto"/>
        <w:jc w:val="center"/>
        <w:rPr>
          <w:rFonts w:eastAsia="Times New Roman" w:cstheme="minorHAnsi"/>
        </w:rPr>
      </w:pPr>
      <w:r w:rsidRPr="00386AA9">
        <w:rPr>
          <w:rFonts w:eastAsia="Times New Roman" w:cstheme="minorHAnsi"/>
        </w:rPr>
        <w:t>-more-</w:t>
      </w:r>
    </w:p>
    <w:p w14:paraId="63F0F8A8" w14:textId="77777777" w:rsidR="00386AA9" w:rsidRPr="000219D2" w:rsidRDefault="00386AA9" w:rsidP="00E354D5">
      <w:pPr>
        <w:spacing w:after="0" w:line="240" w:lineRule="auto"/>
        <w:jc w:val="both"/>
        <w:rPr>
          <w:rFonts w:ascii="Arial" w:eastAsia="Times New Roman" w:hAnsi="Arial" w:cs="Arial"/>
        </w:rPr>
      </w:pPr>
    </w:p>
    <w:p w14:paraId="1658A62F" w14:textId="77777777" w:rsidR="00E354D5" w:rsidRPr="000219D2" w:rsidRDefault="00E354D5" w:rsidP="00E354D5">
      <w:pPr>
        <w:rPr>
          <w:b/>
          <w:bCs/>
          <w:u w:val="single"/>
        </w:rPr>
      </w:pPr>
      <w:r w:rsidRPr="000219D2">
        <w:rPr>
          <w:b/>
          <w:bCs/>
          <w:u w:val="single"/>
        </w:rPr>
        <w:lastRenderedPageBreak/>
        <w:t>2021-2022 Data Collection</w:t>
      </w:r>
    </w:p>
    <w:p w14:paraId="61EC0CD9" w14:textId="57902C8A" w:rsidR="00E354D5" w:rsidRPr="000219D2" w:rsidRDefault="00E354D5" w:rsidP="00E354D5">
      <w:pPr>
        <w:spacing w:after="0" w:line="240" w:lineRule="auto"/>
        <w:rPr>
          <w:rFonts w:eastAsia="Times New Roman" w:cstheme="minorHAnsi"/>
        </w:rPr>
      </w:pPr>
      <w:r w:rsidRPr="000219D2">
        <w:rPr>
          <w:rFonts w:eastAsia="Times New Roman" w:cstheme="minorHAnsi"/>
        </w:rPr>
        <w:t xml:space="preserve">State policy requires each agency and university to retain records, on a fiscal year basis, of academic assistance activity. This information is collected electronically by the Office of State Human Resources. </w:t>
      </w:r>
      <w:r w:rsidRPr="000219D2">
        <w:rPr>
          <w:rFonts w:eastAsia="Times New Roman" w:cstheme="minorHAnsi"/>
          <w:b/>
          <w:bCs/>
          <w:i/>
          <w:iCs/>
        </w:rPr>
        <w:t xml:space="preserve">Two links </w:t>
      </w:r>
      <w:r w:rsidR="00386AA9">
        <w:rPr>
          <w:rFonts w:eastAsia="Times New Roman" w:cstheme="minorHAnsi"/>
          <w:b/>
          <w:bCs/>
          <w:i/>
          <w:iCs/>
        </w:rPr>
        <w:t>are</w:t>
      </w:r>
      <w:r w:rsidRPr="000219D2">
        <w:rPr>
          <w:rFonts w:eastAsia="Times New Roman" w:cstheme="minorHAnsi"/>
          <w:b/>
          <w:bCs/>
          <w:i/>
          <w:iCs/>
        </w:rPr>
        <w:t xml:space="preserve"> provided below</w:t>
      </w:r>
      <w:r w:rsidRPr="000219D2">
        <w:rPr>
          <w:rFonts w:eastAsia="Times New Roman" w:cstheme="minorHAnsi"/>
        </w:rPr>
        <w:t xml:space="preserve"> for you to enter your Academic Assistance Program (AAP) information for the</w:t>
      </w:r>
      <w:r w:rsidRPr="000219D2">
        <w:rPr>
          <w:rFonts w:eastAsia="Times New Roman" w:cstheme="minorHAnsi"/>
          <w:b/>
          <w:bCs/>
        </w:rPr>
        <w:t xml:space="preserve"> 2021-2022 fiscal year</w:t>
      </w:r>
      <w:r w:rsidRPr="000219D2">
        <w:rPr>
          <w:rFonts w:eastAsia="Times New Roman" w:cstheme="minorHAnsi"/>
        </w:rPr>
        <w:t xml:space="preserve">. </w:t>
      </w:r>
    </w:p>
    <w:p w14:paraId="37B5CE61" w14:textId="77777777" w:rsidR="00E354D5" w:rsidRPr="000219D2" w:rsidRDefault="00E354D5" w:rsidP="00E354D5">
      <w:pPr>
        <w:spacing w:after="0" w:line="240" w:lineRule="auto"/>
        <w:rPr>
          <w:rFonts w:eastAsia="Times New Roman" w:cstheme="minorHAnsi"/>
          <w:b/>
          <w:bCs/>
        </w:rPr>
      </w:pPr>
    </w:p>
    <w:p w14:paraId="54BB2824" w14:textId="77777777" w:rsidR="00E354D5" w:rsidRPr="000219D2" w:rsidRDefault="00E354D5" w:rsidP="00E354D5">
      <w:pPr>
        <w:spacing w:after="0" w:line="240" w:lineRule="auto"/>
        <w:rPr>
          <w:rFonts w:eastAsia="Times New Roman" w:cstheme="minorHAnsi"/>
        </w:rPr>
      </w:pPr>
      <w:r w:rsidRPr="000219D2">
        <w:rPr>
          <w:rFonts w:eastAsia="Times New Roman" w:cstheme="minorHAnsi"/>
          <w:b/>
          <w:bCs/>
        </w:rPr>
        <w:t>The first link</w:t>
      </w:r>
      <w:r w:rsidRPr="000219D2">
        <w:rPr>
          <w:rFonts w:eastAsia="Times New Roman" w:cstheme="minorHAnsi"/>
        </w:rPr>
        <w:t xml:space="preserve"> is for those who funded and disbursed funds under the Academic Assistance Program (AAP), and the </w:t>
      </w:r>
      <w:r w:rsidRPr="000219D2">
        <w:rPr>
          <w:rFonts w:eastAsia="Times New Roman" w:cstheme="minorHAnsi"/>
          <w:b/>
          <w:bCs/>
        </w:rPr>
        <w:t>second link</w:t>
      </w:r>
      <w:r w:rsidRPr="000219D2">
        <w:rPr>
          <w:rFonts w:eastAsia="Times New Roman" w:cstheme="minorHAnsi"/>
        </w:rPr>
        <w:t xml:space="preserve"> is for those who </w:t>
      </w:r>
      <w:r w:rsidRPr="000219D2">
        <w:rPr>
          <w:rFonts w:eastAsia="Times New Roman" w:cstheme="minorHAnsi"/>
          <w:b/>
          <w:bCs/>
          <w:i/>
          <w:iCs/>
        </w:rPr>
        <w:t>did not</w:t>
      </w:r>
      <w:r w:rsidRPr="000219D2">
        <w:rPr>
          <w:rFonts w:eastAsia="Times New Roman" w:cstheme="minorHAnsi"/>
        </w:rPr>
        <w:t xml:space="preserve"> fund or disburse funds under the AAP. </w:t>
      </w:r>
    </w:p>
    <w:p w14:paraId="2AFFE32B" w14:textId="77777777" w:rsidR="00E354D5" w:rsidRPr="000219D2" w:rsidRDefault="00E354D5" w:rsidP="00E354D5">
      <w:pPr>
        <w:spacing w:after="0" w:line="240" w:lineRule="auto"/>
        <w:rPr>
          <w:rFonts w:eastAsia="Times New Roman" w:cstheme="minorHAnsi"/>
        </w:rPr>
      </w:pPr>
    </w:p>
    <w:p w14:paraId="35BAA64A" w14:textId="77777777" w:rsidR="00E354D5" w:rsidRPr="000219D2" w:rsidRDefault="00CD731D" w:rsidP="00E354D5">
      <w:pPr>
        <w:numPr>
          <w:ilvl w:val="0"/>
          <w:numId w:val="31"/>
        </w:numPr>
        <w:spacing w:after="0" w:line="240" w:lineRule="auto"/>
        <w:rPr>
          <w:rFonts w:eastAsia="Times New Roman" w:cstheme="minorHAnsi"/>
        </w:rPr>
      </w:pPr>
      <w:hyperlink r:id="rId8" w:history="1">
        <w:r w:rsidR="00E354D5" w:rsidRPr="000219D2">
          <w:rPr>
            <w:rStyle w:val="Hyperlink"/>
            <w:rFonts w:eastAsia="Times New Roman" w:cstheme="minorHAnsi"/>
            <w:b/>
            <w:bCs/>
          </w:rPr>
          <w:t>Agency/ University - Participated in AAP</w:t>
        </w:r>
      </w:hyperlink>
      <w:r w:rsidR="00E354D5" w:rsidRPr="000219D2">
        <w:rPr>
          <w:rFonts w:eastAsia="Times New Roman" w:cstheme="minorHAnsi"/>
          <w:b/>
          <w:bCs/>
        </w:rPr>
        <w:t xml:space="preserve"> </w:t>
      </w:r>
    </w:p>
    <w:p w14:paraId="548A2B2A" w14:textId="77777777" w:rsidR="00E354D5" w:rsidRPr="000219D2" w:rsidRDefault="00E354D5" w:rsidP="00E354D5">
      <w:pPr>
        <w:spacing w:after="0" w:line="240" w:lineRule="auto"/>
        <w:ind w:left="720"/>
        <w:rPr>
          <w:rFonts w:eastAsia="Times New Roman" w:cstheme="minorHAnsi"/>
        </w:rPr>
      </w:pPr>
    </w:p>
    <w:p w14:paraId="53A6D2A2" w14:textId="77777777" w:rsidR="00E354D5" w:rsidRPr="000219D2" w:rsidRDefault="00CD731D" w:rsidP="00E354D5">
      <w:pPr>
        <w:numPr>
          <w:ilvl w:val="0"/>
          <w:numId w:val="31"/>
        </w:numPr>
        <w:spacing w:after="0" w:line="240" w:lineRule="auto"/>
        <w:rPr>
          <w:rFonts w:eastAsia="Times New Roman" w:cstheme="minorHAnsi"/>
        </w:rPr>
      </w:pPr>
      <w:hyperlink r:id="rId9" w:history="1">
        <w:r w:rsidR="00E354D5" w:rsidRPr="000219D2">
          <w:rPr>
            <w:rStyle w:val="Hyperlink"/>
            <w:rFonts w:eastAsia="Times New Roman" w:cstheme="minorHAnsi"/>
            <w:b/>
          </w:rPr>
          <w:t>Agency/ University -Did Not Participate in AAP</w:t>
        </w:r>
      </w:hyperlink>
    </w:p>
    <w:p w14:paraId="41EB6BAA" w14:textId="77777777" w:rsidR="00E354D5" w:rsidRPr="000219D2" w:rsidRDefault="00E354D5" w:rsidP="00E354D5">
      <w:pPr>
        <w:spacing w:after="0" w:line="240" w:lineRule="auto"/>
        <w:rPr>
          <w:rFonts w:eastAsia="Times New Roman" w:cstheme="minorHAnsi"/>
        </w:rPr>
      </w:pPr>
    </w:p>
    <w:p w14:paraId="7F8E384A" w14:textId="77777777" w:rsidR="00E354D5" w:rsidRPr="000219D2" w:rsidRDefault="00E354D5" w:rsidP="00E354D5">
      <w:pPr>
        <w:spacing w:after="0" w:line="240" w:lineRule="auto"/>
        <w:rPr>
          <w:rFonts w:eastAsia="Times New Roman" w:cstheme="minorHAnsi"/>
          <w:i/>
          <w:iCs/>
        </w:rPr>
      </w:pPr>
      <w:r w:rsidRPr="000219D2">
        <w:rPr>
          <w:rFonts w:eastAsia="Times New Roman" w:cstheme="minorHAnsi"/>
          <w:i/>
          <w:iCs/>
        </w:rPr>
        <w:t>Please do not report funds disbursed under tuition waiver programs or other financial aid programs not associated with your Academic Assistance Program.</w:t>
      </w:r>
    </w:p>
    <w:p w14:paraId="0E125F6E" w14:textId="77777777" w:rsidR="00E354D5" w:rsidRPr="000219D2" w:rsidRDefault="00E354D5" w:rsidP="00E354D5">
      <w:pPr>
        <w:spacing w:after="0" w:line="240" w:lineRule="auto"/>
        <w:rPr>
          <w:rFonts w:eastAsia="Times New Roman" w:cstheme="minorHAnsi"/>
        </w:rPr>
      </w:pPr>
    </w:p>
    <w:p w14:paraId="71E3ABD7" w14:textId="77777777" w:rsidR="00E354D5" w:rsidRPr="000219D2" w:rsidRDefault="00E354D5" w:rsidP="00E354D5">
      <w:pPr>
        <w:spacing w:after="0" w:line="240" w:lineRule="auto"/>
        <w:rPr>
          <w:rFonts w:eastAsia="Times New Roman" w:cstheme="minorHAnsi"/>
          <w:b/>
          <w:bCs/>
        </w:rPr>
      </w:pPr>
      <w:r w:rsidRPr="000219D2">
        <w:rPr>
          <w:rFonts w:eastAsia="Times New Roman" w:cstheme="minorHAnsi"/>
          <w:b/>
          <w:bCs/>
        </w:rPr>
        <w:t>The deadline for reporting is 5 p.m. February 1, 2023.</w:t>
      </w:r>
    </w:p>
    <w:p w14:paraId="46444FBD" w14:textId="77777777" w:rsidR="00E354D5" w:rsidRPr="000219D2" w:rsidRDefault="00E354D5" w:rsidP="00E354D5">
      <w:pPr>
        <w:spacing w:after="0" w:line="240" w:lineRule="auto"/>
        <w:rPr>
          <w:rFonts w:eastAsia="Times New Roman" w:cstheme="minorHAnsi"/>
        </w:rPr>
      </w:pPr>
    </w:p>
    <w:p w14:paraId="45B3F095" w14:textId="77777777" w:rsidR="00E354D5" w:rsidRPr="000219D2" w:rsidRDefault="00E354D5" w:rsidP="00E354D5">
      <w:pPr>
        <w:spacing w:after="0" w:line="240" w:lineRule="auto"/>
        <w:rPr>
          <w:rFonts w:eastAsia="Times New Roman" w:cstheme="minorHAnsi"/>
        </w:rPr>
      </w:pPr>
      <w:r w:rsidRPr="000219D2">
        <w:rPr>
          <w:rFonts w:eastAsia="Times New Roman" w:cstheme="minorHAnsi"/>
        </w:rPr>
        <w:t xml:space="preserve">Thank you in advance for your promptness. </w:t>
      </w:r>
      <w:r w:rsidRPr="000219D2">
        <w:t xml:space="preserve">Please share this memo with your Agency’s Academic Assistance Program Administrators. </w:t>
      </w:r>
      <w:r w:rsidRPr="000219D2">
        <w:rPr>
          <w:rFonts w:eastAsia="Times New Roman" w:cstheme="minorHAnsi"/>
        </w:rPr>
        <w:t xml:space="preserve">If you have questions about the ceiling rates or the Academic Assistance Program, please contact Tammy Ball at </w:t>
      </w:r>
      <w:hyperlink r:id="rId10" w:history="1">
        <w:r w:rsidRPr="000219D2">
          <w:rPr>
            <w:rStyle w:val="Hyperlink"/>
            <w:rFonts w:eastAsia="Times New Roman" w:cstheme="minorHAnsi"/>
          </w:rPr>
          <w:t>tammy.ball@nc.gov</w:t>
        </w:r>
      </w:hyperlink>
      <w:r w:rsidRPr="000219D2">
        <w:rPr>
          <w:rFonts w:eastAsia="Times New Roman" w:cstheme="minorHAnsi"/>
        </w:rPr>
        <w:t xml:space="preserve">  or 984-236-1018.</w:t>
      </w:r>
    </w:p>
    <w:p w14:paraId="232165B0" w14:textId="77777777" w:rsidR="00E354D5" w:rsidRPr="000219D2" w:rsidRDefault="00E354D5" w:rsidP="00E354D5">
      <w:pPr>
        <w:spacing w:after="0" w:line="240" w:lineRule="auto"/>
        <w:rPr>
          <w:rFonts w:eastAsia="Times New Roman" w:cstheme="minorHAnsi"/>
        </w:rPr>
      </w:pPr>
    </w:p>
    <w:p w14:paraId="6512E8B5" w14:textId="422EFCBC" w:rsidR="00BD3FF7" w:rsidRPr="008A433E" w:rsidRDefault="00BD3FF7" w:rsidP="00E354D5">
      <w:pPr>
        <w:pStyle w:val="BasicParagraph"/>
        <w:suppressAutoHyphens/>
        <w:spacing w:line="240" w:lineRule="auto"/>
        <w:jc w:val="center"/>
        <w:rPr>
          <w:rFonts w:asciiTheme="minorHAnsi" w:hAnsiTheme="minorHAnsi" w:cstheme="minorHAnsi"/>
          <w:b/>
          <w:sz w:val="22"/>
          <w:szCs w:val="22"/>
        </w:rPr>
      </w:pPr>
    </w:p>
    <w:sectPr w:rsidR="00BD3FF7" w:rsidRPr="008A433E" w:rsidSect="00BD3FF7">
      <w:pgSz w:w="12240" w:h="15840"/>
      <w:pgMar w:top="1152" w:right="1152" w:bottom="1008"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00B5D" w14:textId="77777777" w:rsidR="00852654" w:rsidRDefault="00852654" w:rsidP="003859ED">
      <w:pPr>
        <w:spacing w:after="0" w:line="240" w:lineRule="auto"/>
      </w:pPr>
      <w:r>
        <w:separator/>
      </w:r>
    </w:p>
  </w:endnote>
  <w:endnote w:type="continuationSeparator" w:id="0">
    <w:p w14:paraId="257E815D" w14:textId="77777777" w:rsidR="00852654" w:rsidRDefault="00852654" w:rsidP="0038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22039" w14:textId="77777777" w:rsidR="00852654" w:rsidRDefault="00852654" w:rsidP="003859ED">
      <w:pPr>
        <w:spacing w:after="0" w:line="240" w:lineRule="auto"/>
      </w:pPr>
      <w:r>
        <w:separator/>
      </w:r>
    </w:p>
  </w:footnote>
  <w:footnote w:type="continuationSeparator" w:id="0">
    <w:p w14:paraId="590C2DCB" w14:textId="77777777" w:rsidR="00852654" w:rsidRDefault="00852654" w:rsidP="00385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06FA"/>
    <w:multiLevelType w:val="hybridMultilevel"/>
    <w:tmpl w:val="11C4C8E2"/>
    <w:lvl w:ilvl="0" w:tplc="9F785744">
      <w:numFmt w:val="bullet"/>
      <w:lvlText w:val=""/>
      <w:lvlJc w:val="left"/>
      <w:pPr>
        <w:ind w:left="1227" w:hanging="361"/>
      </w:pPr>
      <w:rPr>
        <w:rFonts w:ascii="Symbol" w:eastAsia="Symbol" w:hAnsi="Symbol" w:cs="Symbol" w:hint="default"/>
        <w:b w:val="0"/>
        <w:bCs w:val="0"/>
        <w:i w:val="0"/>
        <w:iCs w:val="0"/>
        <w:w w:val="100"/>
        <w:sz w:val="22"/>
        <w:szCs w:val="22"/>
        <w:lang w:val="en-US" w:eastAsia="en-US" w:bidi="ar-SA"/>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5E9025A2">
      <w:numFmt w:val="bullet"/>
      <w:lvlText w:val="•"/>
      <w:lvlJc w:val="left"/>
      <w:pPr>
        <w:ind w:left="4010" w:hanging="361"/>
      </w:pPr>
      <w:rPr>
        <w:rFonts w:hint="default"/>
        <w:lang w:val="en-US" w:eastAsia="en-US" w:bidi="ar-SA"/>
      </w:rPr>
    </w:lvl>
    <w:lvl w:ilvl="4" w:tplc="381AB3F6">
      <w:numFmt w:val="bullet"/>
      <w:lvlText w:val="•"/>
      <w:lvlJc w:val="left"/>
      <w:pPr>
        <w:ind w:left="4940" w:hanging="361"/>
      </w:pPr>
      <w:rPr>
        <w:rFonts w:hint="default"/>
        <w:lang w:val="en-US" w:eastAsia="en-US" w:bidi="ar-SA"/>
      </w:rPr>
    </w:lvl>
    <w:lvl w:ilvl="5" w:tplc="79C4C4D0">
      <w:numFmt w:val="bullet"/>
      <w:lvlText w:val="•"/>
      <w:lvlJc w:val="left"/>
      <w:pPr>
        <w:ind w:left="5870" w:hanging="361"/>
      </w:pPr>
      <w:rPr>
        <w:rFonts w:hint="default"/>
        <w:lang w:val="en-US" w:eastAsia="en-US" w:bidi="ar-SA"/>
      </w:rPr>
    </w:lvl>
    <w:lvl w:ilvl="6" w:tplc="D7509D56">
      <w:numFmt w:val="bullet"/>
      <w:lvlText w:val="•"/>
      <w:lvlJc w:val="left"/>
      <w:pPr>
        <w:ind w:left="6800" w:hanging="361"/>
      </w:pPr>
      <w:rPr>
        <w:rFonts w:hint="default"/>
        <w:lang w:val="en-US" w:eastAsia="en-US" w:bidi="ar-SA"/>
      </w:rPr>
    </w:lvl>
    <w:lvl w:ilvl="7" w:tplc="858CBD0C">
      <w:numFmt w:val="bullet"/>
      <w:lvlText w:val="•"/>
      <w:lvlJc w:val="left"/>
      <w:pPr>
        <w:ind w:left="7730" w:hanging="361"/>
      </w:pPr>
      <w:rPr>
        <w:rFonts w:hint="default"/>
        <w:lang w:val="en-US" w:eastAsia="en-US" w:bidi="ar-SA"/>
      </w:rPr>
    </w:lvl>
    <w:lvl w:ilvl="8" w:tplc="FF782C92">
      <w:numFmt w:val="bullet"/>
      <w:lvlText w:val="•"/>
      <w:lvlJc w:val="left"/>
      <w:pPr>
        <w:ind w:left="8660" w:hanging="361"/>
      </w:pPr>
      <w:rPr>
        <w:rFonts w:hint="default"/>
        <w:lang w:val="en-US" w:eastAsia="en-US" w:bidi="ar-SA"/>
      </w:rPr>
    </w:lvl>
  </w:abstractNum>
  <w:abstractNum w:abstractNumId="1" w15:restartNumberingAfterBreak="0">
    <w:nsid w:val="09F065FE"/>
    <w:multiLevelType w:val="hybridMultilevel"/>
    <w:tmpl w:val="092E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56284"/>
    <w:multiLevelType w:val="hybridMultilevel"/>
    <w:tmpl w:val="25BAA56E"/>
    <w:lvl w:ilvl="0" w:tplc="04090001">
      <w:start w:val="1"/>
      <w:numFmt w:val="bullet"/>
      <w:lvlText w:val=""/>
      <w:lvlJc w:val="left"/>
      <w:pPr>
        <w:ind w:left="720" w:hanging="360"/>
      </w:pPr>
      <w:rPr>
        <w:rFonts w:ascii="Symbol" w:hAnsi="Symbol" w:hint="default"/>
        <w:b w:val="0"/>
        <w:bCs w:val="0"/>
        <w:i w:val="0"/>
        <w:iCs w:val="0"/>
        <w:w w:val="100"/>
        <w:sz w:val="22"/>
        <w:szCs w:val="22"/>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7A5BC1"/>
    <w:multiLevelType w:val="hybridMultilevel"/>
    <w:tmpl w:val="409AE666"/>
    <w:lvl w:ilvl="0" w:tplc="04090001">
      <w:start w:val="1"/>
      <w:numFmt w:val="bullet"/>
      <w:lvlText w:val=""/>
      <w:lvlJc w:val="left"/>
      <w:pPr>
        <w:ind w:left="1080" w:hanging="360"/>
      </w:pPr>
      <w:rPr>
        <w:rFonts w:ascii="Symbol" w:hAnsi="Symbol" w:hint="default"/>
        <w:b w:val="0"/>
        <w:bCs w:val="0"/>
        <w:i w:val="0"/>
        <w:iCs w:val="0"/>
        <w:w w:val="100"/>
        <w:sz w:val="22"/>
        <w:szCs w:val="22"/>
        <w:lang w:val="en-US" w:eastAsia="en-US" w:bidi="ar-S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9563BA"/>
    <w:multiLevelType w:val="hybridMultilevel"/>
    <w:tmpl w:val="FCB2C1E0"/>
    <w:lvl w:ilvl="0" w:tplc="04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5" w15:restartNumberingAfterBreak="0">
    <w:nsid w:val="17C64EF6"/>
    <w:multiLevelType w:val="hybridMultilevel"/>
    <w:tmpl w:val="F7A8865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1F0F4AB4"/>
    <w:multiLevelType w:val="hybridMultilevel"/>
    <w:tmpl w:val="2BF25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6E32FC"/>
    <w:multiLevelType w:val="hybridMultilevel"/>
    <w:tmpl w:val="44B8A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8464B"/>
    <w:multiLevelType w:val="hybridMultilevel"/>
    <w:tmpl w:val="D0421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22602"/>
    <w:multiLevelType w:val="hybridMultilevel"/>
    <w:tmpl w:val="98A0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17364"/>
    <w:multiLevelType w:val="hybridMultilevel"/>
    <w:tmpl w:val="0D1A017C"/>
    <w:lvl w:ilvl="0" w:tplc="63760EB8">
      <w:numFmt w:val="bullet"/>
      <w:lvlText w:val=""/>
      <w:lvlJc w:val="left"/>
      <w:pPr>
        <w:ind w:left="868" w:hanging="361"/>
      </w:pPr>
      <w:rPr>
        <w:rFonts w:ascii="Symbol" w:eastAsia="Symbol" w:hAnsi="Symbol" w:cs="Symbol" w:hint="default"/>
        <w:b w:val="0"/>
        <w:bCs w:val="0"/>
        <w:i w:val="0"/>
        <w:iCs w:val="0"/>
        <w:w w:val="100"/>
        <w:sz w:val="22"/>
        <w:szCs w:val="22"/>
        <w:lang w:val="en-US" w:eastAsia="en-US" w:bidi="ar-SA"/>
      </w:rPr>
    </w:lvl>
    <w:lvl w:ilvl="1" w:tplc="42BA2DEE">
      <w:numFmt w:val="bullet"/>
      <w:lvlText w:val="o"/>
      <w:lvlJc w:val="left"/>
      <w:pPr>
        <w:ind w:left="1227" w:hanging="360"/>
      </w:pPr>
      <w:rPr>
        <w:rFonts w:ascii="Courier New" w:eastAsia="Courier New" w:hAnsi="Courier New" w:cs="Courier New" w:hint="default"/>
        <w:b w:val="0"/>
        <w:bCs w:val="0"/>
        <w:i w:val="0"/>
        <w:iCs w:val="0"/>
        <w:w w:val="100"/>
        <w:sz w:val="22"/>
        <w:szCs w:val="22"/>
        <w:lang w:val="en-US" w:eastAsia="en-US" w:bidi="ar-SA"/>
      </w:rPr>
    </w:lvl>
    <w:lvl w:ilvl="2" w:tplc="AA9490E2">
      <w:numFmt w:val="bullet"/>
      <w:lvlText w:val=""/>
      <w:lvlJc w:val="left"/>
      <w:pPr>
        <w:ind w:left="1588" w:hanging="361"/>
      </w:pPr>
      <w:rPr>
        <w:rFonts w:ascii="Symbol" w:eastAsia="Symbol" w:hAnsi="Symbol" w:cs="Symbol" w:hint="default"/>
        <w:b w:val="0"/>
        <w:bCs w:val="0"/>
        <w:i w:val="0"/>
        <w:iCs w:val="0"/>
        <w:w w:val="100"/>
        <w:sz w:val="22"/>
        <w:szCs w:val="22"/>
        <w:lang w:val="en-US" w:eastAsia="en-US" w:bidi="ar-SA"/>
      </w:rPr>
    </w:lvl>
    <w:lvl w:ilvl="3" w:tplc="B3AC5B24">
      <w:numFmt w:val="bullet"/>
      <w:lvlText w:val="•"/>
      <w:lvlJc w:val="left"/>
      <w:pPr>
        <w:ind w:left="2697" w:hanging="361"/>
      </w:pPr>
      <w:rPr>
        <w:rFonts w:hint="default"/>
        <w:lang w:val="en-US" w:eastAsia="en-US" w:bidi="ar-SA"/>
      </w:rPr>
    </w:lvl>
    <w:lvl w:ilvl="4" w:tplc="CC3A6C12">
      <w:numFmt w:val="bullet"/>
      <w:lvlText w:val="•"/>
      <w:lvlJc w:val="left"/>
      <w:pPr>
        <w:ind w:left="3815" w:hanging="361"/>
      </w:pPr>
      <w:rPr>
        <w:rFonts w:hint="default"/>
        <w:lang w:val="en-US" w:eastAsia="en-US" w:bidi="ar-SA"/>
      </w:rPr>
    </w:lvl>
    <w:lvl w:ilvl="5" w:tplc="5D72593E">
      <w:numFmt w:val="bullet"/>
      <w:lvlText w:val="•"/>
      <w:lvlJc w:val="left"/>
      <w:pPr>
        <w:ind w:left="4932" w:hanging="361"/>
      </w:pPr>
      <w:rPr>
        <w:rFonts w:hint="default"/>
        <w:lang w:val="en-US" w:eastAsia="en-US" w:bidi="ar-SA"/>
      </w:rPr>
    </w:lvl>
    <w:lvl w:ilvl="6" w:tplc="FA6EF39A">
      <w:numFmt w:val="bullet"/>
      <w:lvlText w:val="•"/>
      <w:lvlJc w:val="left"/>
      <w:pPr>
        <w:ind w:left="6050" w:hanging="361"/>
      </w:pPr>
      <w:rPr>
        <w:rFonts w:hint="default"/>
        <w:lang w:val="en-US" w:eastAsia="en-US" w:bidi="ar-SA"/>
      </w:rPr>
    </w:lvl>
    <w:lvl w:ilvl="7" w:tplc="1C44B508">
      <w:numFmt w:val="bullet"/>
      <w:lvlText w:val="•"/>
      <w:lvlJc w:val="left"/>
      <w:pPr>
        <w:ind w:left="7167" w:hanging="361"/>
      </w:pPr>
      <w:rPr>
        <w:rFonts w:hint="default"/>
        <w:lang w:val="en-US" w:eastAsia="en-US" w:bidi="ar-SA"/>
      </w:rPr>
    </w:lvl>
    <w:lvl w:ilvl="8" w:tplc="7EE6C964">
      <w:numFmt w:val="bullet"/>
      <w:lvlText w:val="•"/>
      <w:lvlJc w:val="left"/>
      <w:pPr>
        <w:ind w:left="8285" w:hanging="361"/>
      </w:pPr>
      <w:rPr>
        <w:rFonts w:hint="default"/>
        <w:lang w:val="en-US" w:eastAsia="en-US" w:bidi="ar-SA"/>
      </w:rPr>
    </w:lvl>
  </w:abstractNum>
  <w:abstractNum w:abstractNumId="11" w15:restartNumberingAfterBreak="0">
    <w:nsid w:val="359D176F"/>
    <w:multiLevelType w:val="hybridMultilevel"/>
    <w:tmpl w:val="5E74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A5598"/>
    <w:multiLevelType w:val="hybridMultilevel"/>
    <w:tmpl w:val="E9BC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C6ACE"/>
    <w:multiLevelType w:val="hybridMultilevel"/>
    <w:tmpl w:val="299C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B6AD2"/>
    <w:multiLevelType w:val="hybridMultilevel"/>
    <w:tmpl w:val="74C6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63BE7"/>
    <w:multiLevelType w:val="hybridMultilevel"/>
    <w:tmpl w:val="B7781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F74D1"/>
    <w:multiLevelType w:val="hybridMultilevel"/>
    <w:tmpl w:val="F606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57F0D"/>
    <w:multiLevelType w:val="hybridMultilevel"/>
    <w:tmpl w:val="DC1CA34C"/>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8" w15:restartNumberingAfterBreak="0">
    <w:nsid w:val="4E222E07"/>
    <w:multiLevelType w:val="hybridMultilevel"/>
    <w:tmpl w:val="129A1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497C6E"/>
    <w:multiLevelType w:val="hybridMultilevel"/>
    <w:tmpl w:val="0E52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1F6CB5"/>
    <w:multiLevelType w:val="hybridMultilevel"/>
    <w:tmpl w:val="F036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A06DC"/>
    <w:multiLevelType w:val="hybridMultilevel"/>
    <w:tmpl w:val="AC002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3631B1"/>
    <w:multiLevelType w:val="hybridMultilevel"/>
    <w:tmpl w:val="007C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95A94"/>
    <w:multiLevelType w:val="hybridMultilevel"/>
    <w:tmpl w:val="612C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845310"/>
    <w:multiLevelType w:val="hybridMultilevel"/>
    <w:tmpl w:val="5680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A6336"/>
    <w:multiLevelType w:val="hybridMultilevel"/>
    <w:tmpl w:val="275A09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4701F"/>
    <w:multiLevelType w:val="hybridMultilevel"/>
    <w:tmpl w:val="2B7A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E59B2"/>
    <w:multiLevelType w:val="hybridMultilevel"/>
    <w:tmpl w:val="83C6A66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E29655D"/>
    <w:multiLevelType w:val="hybridMultilevel"/>
    <w:tmpl w:val="B8C4C8E2"/>
    <w:lvl w:ilvl="0" w:tplc="42BA2DEE">
      <w:numFmt w:val="bullet"/>
      <w:lvlText w:val="o"/>
      <w:lvlJc w:val="left"/>
      <w:pPr>
        <w:ind w:left="3600" w:hanging="360"/>
      </w:pPr>
      <w:rPr>
        <w:rFonts w:ascii="Courier New" w:eastAsia="Courier New" w:hAnsi="Courier New" w:cs="Courier New" w:hint="default"/>
        <w:b w:val="0"/>
        <w:bCs w:val="0"/>
        <w:i w:val="0"/>
        <w:iCs w:val="0"/>
        <w:w w:val="100"/>
        <w:sz w:val="22"/>
        <w:szCs w:val="22"/>
        <w:lang w:val="en-US" w:eastAsia="en-US" w:bidi="ar-SA"/>
      </w:rPr>
    </w:lvl>
    <w:lvl w:ilvl="1" w:tplc="FFFFFFFF">
      <w:start w:val="1"/>
      <w:numFmt w:val="lowerLetter"/>
      <w:lvlText w:val="%2."/>
      <w:lvlJc w:val="left"/>
      <w:pPr>
        <w:ind w:left="4320" w:hanging="360"/>
      </w:pPr>
    </w:lvl>
    <w:lvl w:ilvl="2" w:tplc="FFFFFFFF">
      <w:start w:val="1"/>
      <w:numFmt w:val="lowerRoman"/>
      <w:lvlText w:val="%3."/>
      <w:lvlJc w:val="right"/>
      <w:pPr>
        <w:ind w:left="5040" w:hanging="180"/>
      </w:pPr>
    </w:lvl>
    <w:lvl w:ilvl="3" w:tplc="FFFFFFFF">
      <w:start w:val="1"/>
      <w:numFmt w:val="decimal"/>
      <w:lvlText w:val="%4."/>
      <w:lvlJc w:val="left"/>
      <w:pPr>
        <w:ind w:left="5760" w:hanging="360"/>
      </w:pPr>
    </w:lvl>
    <w:lvl w:ilvl="4" w:tplc="FFFFFFFF">
      <w:start w:val="1"/>
      <w:numFmt w:val="lowerLetter"/>
      <w:lvlText w:val="%5."/>
      <w:lvlJc w:val="left"/>
      <w:pPr>
        <w:ind w:left="6480" w:hanging="360"/>
      </w:pPr>
    </w:lvl>
    <w:lvl w:ilvl="5" w:tplc="FFFFFFFF">
      <w:start w:val="1"/>
      <w:numFmt w:val="lowerRoman"/>
      <w:lvlText w:val="%6."/>
      <w:lvlJc w:val="right"/>
      <w:pPr>
        <w:ind w:left="7200" w:hanging="180"/>
      </w:pPr>
    </w:lvl>
    <w:lvl w:ilvl="6" w:tplc="FFFFFFFF">
      <w:start w:val="1"/>
      <w:numFmt w:val="decimal"/>
      <w:lvlText w:val="%7."/>
      <w:lvlJc w:val="left"/>
      <w:pPr>
        <w:ind w:left="7920" w:hanging="360"/>
      </w:pPr>
    </w:lvl>
    <w:lvl w:ilvl="7" w:tplc="FFFFFFFF">
      <w:start w:val="1"/>
      <w:numFmt w:val="lowerLetter"/>
      <w:lvlText w:val="%8."/>
      <w:lvlJc w:val="left"/>
      <w:pPr>
        <w:ind w:left="8640" w:hanging="360"/>
      </w:pPr>
    </w:lvl>
    <w:lvl w:ilvl="8" w:tplc="FFFFFFFF">
      <w:start w:val="1"/>
      <w:numFmt w:val="lowerRoman"/>
      <w:lvlText w:val="%9."/>
      <w:lvlJc w:val="right"/>
      <w:pPr>
        <w:ind w:left="9360" w:hanging="180"/>
      </w:pPr>
    </w:lvl>
  </w:abstractNum>
  <w:abstractNum w:abstractNumId="29" w15:restartNumberingAfterBreak="0">
    <w:nsid w:val="717F6165"/>
    <w:multiLevelType w:val="hybridMultilevel"/>
    <w:tmpl w:val="74C4F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1E06BF"/>
    <w:multiLevelType w:val="hybridMultilevel"/>
    <w:tmpl w:val="0084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8"/>
  </w:num>
  <w:num w:numId="4">
    <w:abstractNumId w:val="10"/>
  </w:num>
  <w:num w:numId="5">
    <w:abstractNumId w:val="0"/>
  </w:num>
  <w:num w:numId="6">
    <w:abstractNumId w:val="23"/>
  </w:num>
  <w:num w:numId="7">
    <w:abstractNumId w:val="11"/>
  </w:num>
  <w:num w:numId="8">
    <w:abstractNumId w:val="2"/>
  </w:num>
  <w:num w:numId="9">
    <w:abstractNumId w:val="28"/>
  </w:num>
  <w:num w:numId="10">
    <w:abstractNumId w:val="7"/>
  </w:num>
  <w:num w:numId="11">
    <w:abstractNumId w:val="15"/>
  </w:num>
  <w:num w:numId="12">
    <w:abstractNumId w:val="6"/>
  </w:num>
  <w:num w:numId="13">
    <w:abstractNumId w:val="19"/>
  </w:num>
  <w:num w:numId="14">
    <w:abstractNumId w:val="17"/>
  </w:num>
  <w:num w:numId="15">
    <w:abstractNumId w:val="14"/>
  </w:num>
  <w:num w:numId="16">
    <w:abstractNumId w:val="13"/>
  </w:num>
  <w:num w:numId="17">
    <w:abstractNumId w:val="16"/>
  </w:num>
  <w:num w:numId="18">
    <w:abstractNumId w:val="21"/>
  </w:num>
  <w:num w:numId="19">
    <w:abstractNumId w:val="1"/>
  </w:num>
  <w:num w:numId="20">
    <w:abstractNumId w:val="26"/>
  </w:num>
  <w:num w:numId="21">
    <w:abstractNumId w:val="20"/>
  </w:num>
  <w:num w:numId="22">
    <w:abstractNumId w:val="29"/>
  </w:num>
  <w:num w:numId="23">
    <w:abstractNumId w:val="4"/>
  </w:num>
  <w:num w:numId="24">
    <w:abstractNumId w:val="27"/>
  </w:num>
  <w:num w:numId="25">
    <w:abstractNumId w:val="12"/>
  </w:num>
  <w:num w:numId="26">
    <w:abstractNumId w:val="9"/>
  </w:num>
  <w:num w:numId="27">
    <w:abstractNumId w:val="22"/>
  </w:num>
  <w:num w:numId="28">
    <w:abstractNumId w:val="30"/>
  </w:num>
  <w:num w:numId="29">
    <w:abstractNumId w:val="5"/>
  </w:num>
  <w:num w:numId="30">
    <w:abstractNumId w:val="18"/>
  </w:num>
  <w:num w:numId="31">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02"/>
    <w:rsid w:val="000219D2"/>
    <w:rsid w:val="00021A83"/>
    <w:rsid w:val="00023628"/>
    <w:rsid w:val="0002600B"/>
    <w:rsid w:val="000323D0"/>
    <w:rsid w:val="00051821"/>
    <w:rsid w:val="00060506"/>
    <w:rsid w:val="00070B26"/>
    <w:rsid w:val="0008473B"/>
    <w:rsid w:val="00086702"/>
    <w:rsid w:val="000A770D"/>
    <w:rsid w:val="000C6279"/>
    <w:rsid w:val="000E0658"/>
    <w:rsid w:val="0014025F"/>
    <w:rsid w:val="0014366C"/>
    <w:rsid w:val="0016558D"/>
    <w:rsid w:val="00170F7C"/>
    <w:rsid w:val="001A4505"/>
    <w:rsid w:val="001B5382"/>
    <w:rsid w:val="001C18B9"/>
    <w:rsid w:val="001D5032"/>
    <w:rsid w:val="002158AB"/>
    <w:rsid w:val="0022209D"/>
    <w:rsid w:val="00260503"/>
    <w:rsid w:val="00291A56"/>
    <w:rsid w:val="002A48F1"/>
    <w:rsid w:val="002A7485"/>
    <w:rsid w:val="002B60D0"/>
    <w:rsid w:val="002D5209"/>
    <w:rsid w:val="00321BFA"/>
    <w:rsid w:val="00326904"/>
    <w:rsid w:val="00333236"/>
    <w:rsid w:val="003531E3"/>
    <w:rsid w:val="00381BCA"/>
    <w:rsid w:val="003859ED"/>
    <w:rsid w:val="00386AA9"/>
    <w:rsid w:val="0039117A"/>
    <w:rsid w:val="0039559D"/>
    <w:rsid w:val="003974CF"/>
    <w:rsid w:val="003B591D"/>
    <w:rsid w:val="003C73C1"/>
    <w:rsid w:val="003D0C19"/>
    <w:rsid w:val="00410702"/>
    <w:rsid w:val="004204FD"/>
    <w:rsid w:val="00425C75"/>
    <w:rsid w:val="00426D6A"/>
    <w:rsid w:val="00427A10"/>
    <w:rsid w:val="00432C52"/>
    <w:rsid w:val="0044261C"/>
    <w:rsid w:val="00444442"/>
    <w:rsid w:val="00446FBA"/>
    <w:rsid w:val="004661D7"/>
    <w:rsid w:val="004822D7"/>
    <w:rsid w:val="004D1A88"/>
    <w:rsid w:val="004E6ADD"/>
    <w:rsid w:val="00507193"/>
    <w:rsid w:val="00531AFF"/>
    <w:rsid w:val="00545137"/>
    <w:rsid w:val="005615DB"/>
    <w:rsid w:val="00587B17"/>
    <w:rsid w:val="005A4EC3"/>
    <w:rsid w:val="005E0508"/>
    <w:rsid w:val="00606DD3"/>
    <w:rsid w:val="00632C7C"/>
    <w:rsid w:val="00670EDC"/>
    <w:rsid w:val="00672E60"/>
    <w:rsid w:val="00674923"/>
    <w:rsid w:val="006B2CE0"/>
    <w:rsid w:val="006B79F7"/>
    <w:rsid w:val="006C18D6"/>
    <w:rsid w:val="00724B88"/>
    <w:rsid w:val="00740F63"/>
    <w:rsid w:val="0074450C"/>
    <w:rsid w:val="00763B8D"/>
    <w:rsid w:val="00764F83"/>
    <w:rsid w:val="0076736F"/>
    <w:rsid w:val="007718CB"/>
    <w:rsid w:val="00781F92"/>
    <w:rsid w:val="00787B1B"/>
    <w:rsid w:val="007A4A86"/>
    <w:rsid w:val="007D15B0"/>
    <w:rsid w:val="007E3EDE"/>
    <w:rsid w:val="007E6214"/>
    <w:rsid w:val="00807DF5"/>
    <w:rsid w:val="008245EC"/>
    <w:rsid w:val="00852654"/>
    <w:rsid w:val="00874872"/>
    <w:rsid w:val="008767A2"/>
    <w:rsid w:val="00877DCF"/>
    <w:rsid w:val="00897CD7"/>
    <w:rsid w:val="008A02A2"/>
    <w:rsid w:val="008A433E"/>
    <w:rsid w:val="008A769F"/>
    <w:rsid w:val="008B05E5"/>
    <w:rsid w:val="008B62C8"/>
    <w:rsid w:val="008E418C"/>
    <w:rsid w:val="00901DF9"/>
    <w:rsid w:val="00913C4E"/>
    <w:rsid w:val="00915459"/>
    <w:rsid w:val="00937FEF"/>
    <w:rsid w:val="00984448"/>
    <w:rsid w:val="00992FB3"/>
    <w:rsid w:val="009954BF"/>
    <w:rsid w:val="009A1B39"/>
    <w:rsid w:val="009D676E"/>
    <w:rsid w:val="009D7EEC"/>
    <w:rsid w:val="00A50497"/>
    <w:rsid w:val="00A53FF0"/>
    <w:rsid w:val="00A63B7A"/>
    <w:rsid w:val="00A6530E"/>
    <w:rsid w:val="00A8006C"/>
    <w:rsid w:val="00A9503B"/>
    <w:rsid w:val="00AA1051"/>
    <w:rsid w:val="00AB689E"/>
    <w:rsid w:val="00AC37E6"/>
    <w:rsid w:val="00AD293C"/>
    <w:rsid w:val="00AF00A9"/>
    <w:rsid w:val="00AF3670"/>
    <w:rsid w:val="00AF5516"/>
    <w:rsid w:val="00B126E7"/>
    <w:rsid w:val="00B40C6D"/>
    <w:rsid w:val="00B57224"/>
    <w:rsid w:val="00B76FDB"/>
    <w:rsid w:val="00B905BE"/>
    <w:rsid w:val="00B97D83"/>
    <w:rsid w:val="00BC1BC1"/>
    <w:rsid w:val="00BC2864"/>
    <w:rsid w:val="00BD3FF7"/>
    <w:rsid w:val="00BE7B78"/>
    <w:rsid w:val="00BF110D"/>
    <w:rsid w:val="00BF25F5"/>
    <w:rsid w:val="00BF4821"/>
    <w:rsid w:val="00C103B2"/>
    <w:rsid w:val="00C124E4"/>
    <w:rsid w:val="00C20352"/>
    <w:rsid w:val="00C74F7B"/>
    <w:rsid w:val="00C805E1"/>
    <w:rsid w:val="00C80FA4"/>
    <w:rsid w:val="00CD731D"/>
    <w:rsid w:val="00CF3092"/>
    <w:rsid w:val="00CF7E9F"/>
    <w:rsid w:val="00D02972"/>
    <w:rsid w:val="00D14C2C"/>
    <w:rsid w:val="00D20AAA"/>
    <w:rsid w:val="00D24F6C"/>
    <w:rsid w:val="00D33E2F"/>
    <w:rsid w:val="00D91A4F"/>
    <w:rsid w:val="00D97A23"/>
    <w:rsid w:val="00DA23AE"/>
    <w:rsid w:val="00DE01F8"/>
    <w:rsid w:val="00DF5DA2"/>
    <w:rsid w:val="00E00010"/>
    <w:rsid w:val="00E354D5"/>
    <w:rsid w:val="00E530EB"/>
    <w:rsid w:val="00E65A35"/>
    <w:rsid w:val="00E819AD"/>
    <w:rsid w:val="00E82F9E"/>
    <w:rsid w:val="00E9182F"/>
    <w:rsid w:val="00EB7893"/>
    <w:rsid w:val="00F371B1"/>
    <w:rsid w:val="00F40B0C"/>
    <w:rsid w:val="00F6330A"/>
    <w:rsid w:val="00F655A1"/>
    <w:rsid w:val="00F6714E"/>
    <w:rsid w:val="00FB5A7C"/>
    <w:rsid w:val="00FC47B5"/>
    <w:rsid w:val="00FE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85E8"/>
  <w15:chartTrackingRefBased/>
  <w15:docId w15:val="{588AA7C0-03FA-AE40-B97C-8933728E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1051"/>
    <w:pPr>
      <w:keepNext/>
      <w:keepLines/>
      <w:spacing w:before="240" w:after="240" w:line="276" w:lineRule="auto"/>
      <w:outlineLvl w:val="0"/>
    </w:pPr>
    <w:rPr>
      <w:rFonts w:asciiTheme="majorHAnsi" w:eastAsiaTheme="majorEastAsia" w:hAnsiTheme="majorHAnsi" w:cstheme="majorBidi"/>
      <w:b/>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EC3"/>
    <w:rPr>
      <w:color w:val="0563C1" w:themeColor="hyperlink"/>
      <w:u w:val="single"/>
    </w:rPr>
  </w:style>
  <w:style w:type="paragraph" w:styleId="PlainText">
    <w:name w:val="Plain Text"/>
    <w:basedOn w:val="Normal"/>
    <w:link w:val="PlainTextChar"/>
    <w:uiPriority w:val="99"/>
    <w:semiHidden/>
    <w:unhideWhenUsed/>
    <w:rsid w:val="005A4EC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A4EC3"/>
    <w:rPr>
      <w:rFonts w:ascii="Calibri" w:hAnsi="Calibri"/>
      <w:szCs w:val="21"/>
    </w:rPr>
  </w:style>
  <w:style w:type="character" w:styleId="UnresolvedMention">
    <w:name w:val="Unresolved Mention"/>
    <w:basedOn w:val="DefaultParagraphFont"/>
    <w:uiPriority w:val="99"/>
    <w:semiHidden/>
    <w:unhideWhenUsed/>
    <w:rsid w:val="00764F83"/>
    <w:rPr>
      <w:color w:val="808080"/>
      <w:shd w:val="clear" w:color="auto" w:fill="E6E6E6"/>
    </w:rPr>
  </w:style>
  <w:style w:type="paragraph" w:customStyle="1" w:styleId="CompanyName">
    <w:name w:val="Company Name"/>
    <w:basedOn w:val="Normal"/>
    <w:qFormat/>
    <w:rsid w:val="00425C75"/>
    <w:pPr>
      <w:spacing w:after="0" w:line="240" w:lineRule="auto"/>
      <w:jc w:val="center"/>
    </w:pPr>
    <w:rPr>
      <w:rFonts w:asciiTheme="majorHAnsi" w:eastAsiaTheme="majorEastAsia" w:hAnsiTheme="majorHAnsi" w:cstheme="majorBidi"/>
      <w:b/>
      <w:bCs/>
      <w:color w:val="FFFFFF" w:themeColor="background1"/>
      <w:spacing w:val="-15"/>
      <w:sz w:val="32"/>
      <w:szCs w:val="20"/>
    </w:rPr>
  </w:style>
  <w:style w:type="character" w:styleId="FollowedHyperlink">
    <w:name w:val="FollowedHyperlink"/>
    <w:basedOn w:val="DefaultParagraphFont"/>
    <w:uiPriority w:val="99"/>
    <w:semiHidden/>
    <w:unhideWhenUsed/>
    <w:rsid w:val="00021A83"/>
    <w:rPr>
      <w:color w:val="954F72" w:themeColor="followedHyperlink"/>
      <w:u w:val="single"/>
    </w:rPr>
  </w:style>
  <w:style w:type="table" w:styleId="TableGrid">
    <w:name w:val="Table Grid"/>
    <w:basedOn w:val="TableNormal"/>
    <w:uiPriority w:val="39"/>
    <w:rsid w:val="00E81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E819AD"/>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PlaceholderText">
    <w:name w:val="Placeholder Text"/>
    <w:basedOn w:val="DefaultParagraphFont"/>
    <w:uiPriority w:val="99"/>
    <w:semiHidden/>
    <w:rsid w:val="00AC37E6"/>
    <w:rPr>
      <w:color w:val="808080"/>
    </w:rPr>
  </w:style>
  <w:style w:type="paragraph" w:styleId="Header">
    <w:name w:val="header"/>
    <w:basedOn w:val="Normal"/>
    <w:link w:val="HeaderChar"/>
    <w:uiPriority w:val="99"/>
    <w:unhideWhenUsed/>
    <w:rsid w:val="00385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9ED"/>
  </w:style>
  <w:style w:type="paragraph" w:styleId="Footer">
    <w:name w:val="footer"/>
    <w:basedOn w:val="Normal"/>
    <w:link w:val="FooterChar"/>
    <w:uiPriority w:val="99"/>
    <w:unhideWhenUsed/>
    <w:rsid w:val="00385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9ED"/>
  </w:style>
  <w:style w:type="character" w:styleId="PageNumber">
    <w:name w:val="page number"/>
    <w:basedOn w:val="DefaultParagraphFont"/>
    <w:uiPriority w:val="99"/>
    <w:semiHidden/>
    <w:unhideWhenUsed/>
    <w:rsid w:val="003859ED"/>
  </w:style>
  <w:style w:type="character" w:customStyle="1" w:styleId="Heading1Char">
    <w:name w:val="Heading 1 Char"/>
    <w:basedOn w:val="DefaultParagraphFont"/>
    <w:link w:val="Heading1"/>
    <w:uiPriority w:val="9"/>
    <w:rsid w:val="00AA1051"/>
    <w:rPr>
      <w:rFonts w:asciiTheme="majorHAnsi" w:eastAsiaTheme="majorEastAsia" w:hAnsiTheme="majorHAnsi" w:cstheme="majorBidi"/>
      <w:b/>
      <w:bCs/>
      <w:color w:val="000000" w:themeColor="text1"/>
      <w:sz w:val="20"/>
      <w:szCs w:val="20"/>
    </w:rPr>
  </w:style>
  <w:style w:type="paragraph" w:styleId="Title">
    <w:name w:val="Title"/>
    <w:basedOn w:val="Normal"/>
    <w:next w:val="Normal"/>
    <w:link w:val="TitleChar"/>
    <w:qFormat/>
    <w:rsid w:val="00AA1051"/>
    <w:pPr>
      <w:spacing w:after="300" w:line="240" w:lineRule="auto"/>
      <w:ind w:left="-720"/>
      <w:contextualSpacing/>
    </w:pPr>
    <w:rPr>
      <w:rFonts w:asciiTheme="majorHAnsi" w:eastAsiaTheme="majorEastAsia" w:hAnsiTheme="majorHAnsi" w:cstheme="majorBidi"/>
      <w:b/>
      <w:bCs/>
      <w:color w:val="000000" w:themeColor="text1"/>
      <w:spacing w:val="5"/>
      <w:kern w:val="28"/>
      <w:sz w:val="96"/>
      <w:szCs w:val="96"/>
    </w:rPr>
  </w:style>
  <w:style w:type="character" w:customStyle="1" w:styleId="TitleChar">
    <w:name w:val="Title Char"/>
    <w:basedOn w:val="DefaultParagraphFont"/>
    <w:link w:val="Title"/>
    <w:rsid w:val="00AA1051"/>
    <w:rPr>
      <w:rFonts w:asciiTheme="majorHAnsi" w:eastAsiaTheme="majorEastAsia" w:hAnsiTheme="majorHAnsi" w:cstheme="majorBidi"/>
      <w:b/>
      <w:bCs/>
      <w:color w:val="000000" w:themeColor="text1"/>
      <w:spacing w:val="5"/>
      <w:kern w:val="28"/>
      <w:sz w:val="96"/>
      <w:szCs w:val="96"/>
    </w:rPr>
  </w:style>
  <w:style w:type="paragraph" w:customStyle="1" w:styleId="Default">
    <w:name w:val="Default"/>
    <w:rsid w:val="00992FB3"/>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apple-converted-space">
    <w:name w:val="apple-converted-space"/>
    <w:basedOn w:val="DefaultParagraphFont"/>
    <w:rsid w:val="00992FB3"/>
  </w:style>
  <w:style w:type="paragraph" w:styleId="ListParagraph">
    <w:name w:val="List Paragraph"/>
    <w:basedOn w:val="Normal"/>
    <w:uiPriority w:val="1"/>
    <w:qFormat/>
    <w:rsid w:val="00FE381B"/>
    <w:pPr>
      <w:spacing w:after="240" w:line="276" w:lineRule="auto"/>
      <w:ind w:left="720"/>
      <w:contextualSpacing/>
    </w:pPr>
    <w:rPr>
      <w:sz w:val="20"/>
      <w:szCs w:val="20"/>
    </w:rPr>
  </w:style>
  <w:style w:type="paragraph" w:styleId="BodyText">
    <w:name w:val="Body Text"/>
    <w:basedOn w:val="Normal"/>
    <w:link w:val="BodyTextChar"/>
    <w:uiPriority w:val="1"/>
    <w:qFormat/>
    <w:rsid w:val="008245EC"/>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8245EC"/>
    <w:rPr>
      <w:rFonts w:ascii="Calibri" w:eastAsia="Calibri" w:hAnsi="Calibri" w:cs="Calibri"/>
    </w:rPr>
  </w:style>
  <w:style w:type="paragraph" w:styleId="Revision">
    <w:name w:val="Revision"/>
    <w:hidden/>
    <w:uiPriority w:val="99"/>
    <w:semiHidden/>
    <w:rsid w:val="008245EC"/>
    <w:pPr>
      <w:spacing w:after="0" w:line="240" w:lineRule="auto"/>
    </w:pPr>
  </w:style>
  <w:style w:type="character" w:styleId="CommentReference">
    <w:name w:val="annotation reference"/>
    <w:basedOn w:val="DefaultParagraphFont"/>
    <w:uiPriority w:val="99"/>
    <w:semiHidden/>
    <w:unhideWhenUsed/>
    <w:rsid w:val="008245EC"/>
    <w:rPr>
      <w:sz w:val="16"/>
      <w:szCs w:val="16"/>
    </w:rPr>
  </w:style>
  <w:style w:type="paragraph" w:styleId="CommentText">
    <w:name w:val="annotation text"/>
    <w:basedOn w:val="Normal"/>
    <w:link w:val="CommentTextChar"/>
    <w:uiPriority w:val="99"/>
    <w:unhideWhenUsed/>
    <w:rsid w:val="008245EC"/>
    <w:pPr>
      <w:spacing w:line="240" w:lineRule="auto"/>
    </w:pPr>
    <w:rPr>
      <w:sz w:val="20"/>
      <w:szCs w:val="20"/>
    </w:rPr>
  </w:style>
  <w:style w:type="character" w:customStyle="1" w:styleId="CommentTextChar">
    <w:name w:val="Comment Text Char"/>
    <w:basedOn w:val="DefaultParagraphFont"/>
    <w:link w:val="CommentText"/>
    <w:uiPriority w:val="99"/>
    <w:rsid w:val="008245EC"/>
    <w:rPr>
      <w:sz w:val="20"/>
      <w:szCs w:val="20"/>
    </w:rPr>
  </w:style>
  <w:style w:type="paragraph" w:styleId="CommentSubject">
    <w:name w:val="annotation subject"/>
    <w:basedOn w:val="CommentText"/>
    <w:next w:val="CommentText"/>
    <w:link w:val="CommentSubjectChar"/>
    <w:uiPriority w:val="99"/>
    <w:semiHidden/>
    <w:unhideWhenUsed/>
    <w:rsid w:val="008245EC"/>
    <w:rPr>
      <w:b/>
      <w:bCs/>
    </w:rPr>
  </w:style>
  <w:style w:type="character" w:customStyle="1" w:styleId="CommentSubjectChar">
    <w:name w:val="Comment Subject Char"/>
    <w:basedOn w:val="CommentTextChar"/>
    <w:link w:val="CommentSubject"/>
    <w:uiPriority w:val="99"/>
    <w:semiHidden/>
    <w:rsid w:val="008245EC"/>
    <w:rPr>
      <w:b/>
      <w:bCs/>
      <w:sz w:val="20"/>
      <w:szCs w:val="20"/>
    </w:rPr>
  </w:style>
  <w:style w:type="paragraph" w:styleId="NormalWeb">
    <w:name w:val="Normal (Web)"/>
    <w:basedOn w:val="Normal"/>
    <w:uiPriority w:val="99"/>
    <w:semiHidden/>
    <w:unhideWhenUsed/>
    <w:rsid w:val="008245EC"/>
    <w:pPr>
      <w:spacing w:before="100" w:beforeAutospacing="1" w:after="100" w:afterAutospacing="1" w:line="240" w:lineRule="auto"/>
    </w:pPr>
    <w:rPr>
      <w:rFonts w:ascii="Calibri" w:hAnsi="Calibri" w:cs="Calibri"/>
    </w:rPr>
  </w:style>
  <w:style w:type="paragraph" w:styleId="FootnoteText">
    <w:name w:val="footnote text"/>
    <w:basedOn w:val="Normal"/>
    <w:link w:val="FootnoteTextChar"/>
    <w:uiPriority w:val="99"/>
    <w:semiHidden/>
    <w:unhideWhenUsed/>
    <w:rsid w:val="008245EC"/>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8245EC"/>
    <w:rPr>
      <w:rFonts w:ascii="Calibri" w:hAnsi="Calibri" w:cs="Calibri"/>
      <w:sz w:val="20"/>
      <w:szCs w:val="20"/>
    </w:rPr>
  </w:style>
  <w:style w:type="character" w:styleId="FootnoteReference">
    <w:name w:val="footnote reference"/>
    <w:basedOn w:val="DefaultParagraphFont"/>
    <w:uiPriority w:val="99"/>
    <w:semiHidden/>
    <w:unhideWhenUsed/>
    <w:rsid w:val="008245EC"/>
    <w:rPr>
      <w:vertAlign w:val="superscript"/>
    </w:rPr>
  </w:style>
  <w:style w:type="paragraph" w:customStyle="1" w:styleId="xmsonormal">
    <w:name w:val="x_msonormal"/>
    <w:basedOn w:val="Normal"/>
    <w:rsid w:val="00897CD7"/>
    <w:pPr>
      <w:spacing w:after="0" w:line="240" w:lineRule="auto"/>
    </w:pPr>
    <w:rPr>
      <w:rFonts w:ascii="Calibri" w:hAnsi="Calibri" w:cs="Calibri"/>
    </w:rPr>
  </w:style>
  <w:style w:type="paragraph" w:styleId="Caption">
    <w:name w:val="caption"/>
    <w:basedOn w:val="Normal"/>
    <w:next w:val="Normal"/>
    <w:uiPriority w:val="35"/>
    <w:unhideWhenUsed/>
    <w:qFormat/>
    <w:rsid w:val="00E354D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916178">
      <w:bodyDiv w:val="1"/>
      <w:marLeft w:val="0"/>
      <w:marRight w:val="0"/>
      <w:marTop w:val="0"/>
      <w:marBottom w:val="0"/>
      <w:divBdr>
        <w:top w:val="none" w:sz="0" w:space="0" w:color="auto"/>
        <w:left w:val="none" w:sz="0" w:space="0" w:color="auto"/>
        <w:bottom w:val="none" w:sz="0" w:space="0" w:color="auto"/>
        <w:right w:val="none" w:sz="0" w:space="0" w:color="auto"/>
      </w:divBdr>
    </w:div>
    <w:div w:id="1119688681">
      <w:bodyDiv w:val="1"/>
      <w:marLeft w:val="0"/>
      <w:marRight w:val="0"/>
      <w:marTop w:val="0"/>
      <w:marBottom w:val="0"/>
      <w:divBdr>
        <w:top w:val="none" w:sz="0" w:space="0" w:color="auto"/>
        <w:left w:val="none" w:sz="0" w:space="0" w:color="auto"/>
        <w:bottom w:val="none" w:sz="0" w:space="0" w:color="auto"/>
        <w:right w:val="none" w:sz="0" w:space="0" w:color="auto"/>
      </w:divBdr>
    </w:div>
    <w:div w:id="1599869529">
      <w:bodyDiv w:val="1"/>
      <w:marLeft w:val="0"/>
      <w:marRight w:val="0"/>
      <w:marTop w:val="0"/>
      <w:marBottom w:val="0"/>
      <w:divBdr>
        <w:top w:val="none" w:sz="0" w:space="0" w:color="auto"/>
        <w:left w:val="none" w:sz="0" w:space="0" w:color="auto"/>
        <w:bottom w:val="none" w:sz="0" w:space="0" w:color="auto"/>
        <w:right w:val="none" w:sz="0" w:space="0" w:color="auto"/>
      </w:divBdr>
    </w:div>
    <w:div w:id="1633633872">
      <w:bodyDiv w:val="1"/>
      <w:marLeft w:val="0"/>
      <w:marRight w:val="0"/>
      <w:marTop w:val="0"/>
      <w:marBottom w:val="0"/>
      <w:divBdr>
        <w:top w:val="none" w:sz="0" w:space="0" w:color="auto"/>
        <w:left w:val="none" w:sz="0" w:space="0" w:color="auto"/>
        <w:bottom w:val="none" w:sz="0" w:space="0" w:color="auto"/>
        <w:right w:val="none" w:sz="0" w:space="0" w:color="auto"/>
      </w:divBdr>
    </w:div>
    <w:div w:id="1720396139">
      <w:bodyDiv w:val="1"/>
      <w:marLeft w:val="0"/>
      <w:marRight w:val="0"/>
      <w:marTop w:val="0"/>
      <w:marBottom w:val="0"/>
      <w:divBdr>
        <w:top w:val="none" w:sz="0" w:space="0" w:color="auto"/>
        <w:left w:val="none" w:sz="0" w:space="0" w:color="auto"/>
        <w:bottom w:val="none" w:sz="0" w:space="0" w:color="auto"/>
        <w:right w:val="none" w:sz="0" w:space="0" w:color="auto"/>
      </w:divBdr>
    </w:div>
    <w:div w:id="1992051169">
      <w:bodyDiv w:val="1"/>
      <w:marLeft w:val="0"/>
      <w:marRight w:val="0"/>
      <w:marTop w:val="0"/>
      <w:marBottom w:val="0"/>
      <w:divBdr>
        <w:top w:val="none" w:sz="0" w:space="0" w:color="auto"/>
        <w:left w:val="none" w:sz="0" w:space="0" w:color="auto"/>
        <w:bottom w:val="none" w:sz="0" w:space="0" w:color="auto"/>
        <w:right w:val="none" w:sz="0" w:space="0" w:color="auto"/>
      </w:divBdr>
    </w:div>
    <w:div w:id="200547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3IF2etC5mkSFw-zCbNftGR51i4KVautIu8xVkPL8a3lURDBPT0FWTzg1RlFaVlBUWElMVjFYS0VEQyQlQCN0PWc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ammy.ball@nc.gov" TargetMode="External"/><Relationship Id="rId4" Type="http://schemas.openxmlformats.org/officeDocument/2006/relationships/webSettings" Target="webSettings.xml"/><Relationship Id="rId9" Type="http://schemas.openxmlformats.org/officeDocument/2006/relationships/hyperlink" Target="https://forms.office.com/Pages/ResponsePage.aspx?id=3IF2etC5mkSFw-zCbNftGR51i4KVautIu8xVkPL8a3lUN1pZRVNWWVJRUjlUVkxKUVBVTVUxNjNDUiQlQCN0PW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Chaffin, Tina</cp:lastModifiedBy>
  <cp:revision>2</cp:revision>
  <cp:lastPrinted>2022-12-05T19:00:00Z</cp:lastPrinted>
  <dcterms:created xsi:type="dcterms:W3CDTF">2022-12-07T14:45:00Z</dcterms:created>
  <dcterms:modified xsi:type="dcterms:W3CDTF">2022-12-07T14:45:00Z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29ae82b26d7040b3aceb3938c2190d4755800c9e729364525ff58f3f1334583b</vt:lpwstr>
  </property>
</Properties>
</file>